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A5D4A" w14:textId="77777777" w:rsidR="006E6F37" w:rsidRPr="00E43844" w:rsidRDefault="0049523A" w:rsidP="00E43844">
      <w:pPr>
        <w:jc w:val="center"/>
        <w:rPr>
          <w:i/>
          <w:sz w:val="23"/>
          <w:szCs w:val="23"/>
        </w:rPr>
      </w:pPr>
      <w:r>
        <w:rPr>
          <w:b/>
          <w:sz w:val="24"/>
        </w:rPr>
        <w:t>EcoHealth Alliance</w:t>
      </w:r>
    </w:p>
    <w:p w14:paraId="50B99E39" w14:textId="77777777" w:rsidR="00477FA9" w:rsidRPr="00477FA9" w:rsidRDefault="000E573A" w:rsidP="00477FA9">
      <w:pPr>
        <w:pStyle w:val="ListParagraph"/>
        <w:numPr>
          <w:ilvl w:val="0"/>
          <w:numId w:val="9"/>
        </w:numPr>
        <w:rPr>
          <w:sz w:val="20"/>
          <w:szCs w:val="23"/>
        </w:rPr>
      </w:pPr>
      <w:r w:rsidRPr="00477FA9">
        <w:rPr>
          <w:b/>
          <w:sz w:val="20"/>
          <w:szCs w:val="23"/>
        </w:rPr>
        <w:t xml:space="preserve">Key Personnel:  </w:t>
      </w:r>
    </w:p>
    <w:p w14:paraId="7BF7CF57" w14:textId="77777777" w:rsidR="00851825" w:rsidRDefault="0049523A" w:rsidP="00851825">
      <w:pPr>
        <w:pStyle w:val="ListParagraph"/>
        <w:numPr>
          <w:ilvl w:val="0"/>
          <w:numId w:val="10"/>
        </w:numPr>
        <w:rPr>
          <w:b/>
          <w:sz w:val="20"/>
          <w:szCs w:val="23"/>
        </w:rPr>
      </w:pPr>
      <w:r>
        <w:rPr>
          <w:b/>
          <w:sz w:val="20"/>
          <w:szCs w:val="23"/>
        </w:rPr>
        <w:t xml:space="preserve">William </w:t>
      </w:r>
      <w:proofErr w:type="spellStart"/>
      <w:r>
        <w:rPr>
          <w:b/>
          <w:sz w:val="20"/>
          <w:szCs w:val="23"/>
        </w:rPr>
        <w:t>Karesh</w:t>
      </w:r>
      <w:proofErr w:type="spellEnd"/>
      <w:r>
        <w:rPr>
          <w:b/>
          <w:sz w:val="20"/>
          <w:szCs w:val="23"/>
        </w:rPr>
        <w:t>, DVM</w:t>
      </w:r>
    </w:p>
    <w:p w14:paraId="20DA3E94" w14:textId="6F9F6D15" w:rsidR="002D5978" w:rsidRDefault="002D5978" w:rsidP="00851825">
      <w:pPr>
        <w:pStyle w:val="ListParagraph"/>
        <w:numPr>
          <w:ilvl w:val="0"/>
          <w:numId w:val="10"/>
        </w:numPr>
        <w:rPr>
          <w:b/>
          <w:sz w:val="20"/>
          <w:szCs w:val="23"/>
        </w:rPr>
      </w:pPr>
      <w:r>
        <w:rPr>
          <w:b/>
          <w:sz w:val="20"/>
          <w:szCs w:val="23"/>
        </w:rPr>
        <w:t>Andrew Huff, PhD, MS</w:t>
      </w:r>
      <w:bookmarkStart w:id="0" w:name="_GoBack"/>
      <w:bookmarkEnd w:id="0"/>
    </w:p>
    <w:p w14:paraId="6CDA2641" w14:textId="77777777" w:rsidR="00851825" w:rsidRDefault="00851825" w:rsidP="00851825">
      <w:pPr>
        <w:pStyle w:val="ListParagraph"/>
        <w:numPr>
          <w:ilvl w:val="0"/>
          <w:numId w:val="10"/>
        </w:numPr>
        <w:rPr>
          <w:b/>
          <w:sz w:val="20"/>
          <w:szCs w:val="23"/>
        </w:rPr>
      </w:pPr>
      <w:r>
        <w:rPr>
          <w:b/>
          <w:sz w:val="20"/>
          <w:szCs w:val="23"/>
        </w:rPr>
        <w:t xml:space="preserve">Peter </w:t>
      </w:r>
      <w:proofErr w:type="spellStart"/>
      <w:r>
        <w:rPr>
          <w:b/>
          <w:sz w:val="20"/>
          <w:szCs w:val="23"/>
        </w:rPr>
        <w:t>Daszak</w:t>
      </w:r>
      <w:proofErr w:type="spellEnd"/>
      <w:r>
        <w:rPr>
          <w:b/>
          <w:sz w:val="20"/>
          <w:szCs w:val="23"/>
        </w:rPr>
        <w:t>, PhD</w:t>
      </w:r>
    </w:p>
    <w:p w14:paraId="07FA69F4" w14:textId="77777777" w:rsidR="00851825" w:rsidRDefault="00851825" w:rsidP="00851825">
      <w:pPr>
        <w:pStyle w:val="ListParagraph"/>
        <w:numPr>
          <w:ilvl w:val="0"/>
          <w:numId w:val="10"/>
        </w:numPr>
        <w:rPr>
          <w:b/>
          <w:sz w:val="20"/>
          <w:szCs w:val="23"/>
        </w:rPr>
      </w:pPr>
      <w:r>
        <w:rPr>
          <w:b/>
          <w:sz w:val="20"/>
          <w:szCs w:val="23"/>
        </w:rPr>
        <w:t>Jon Epstein, MPH, DVM</w:t>
      </w:r>
    </w:p>
    <w:p w14:paraId="2CBF5D21" w14:textId="77777777" w:rsidR="00851825" w:rsidRDefault="00851825" w:rsidP="00851825">
      <w:pPr>
        <w:pStyle w:val="ListParagraph"/>
        <w:numPr>
          <w:ilvl w:val="0"/>
          <w:numId w:val="10"/>
        </w:numPr>
        <w:rPr>
          <w:b/>
          <w:sz w:val="20"/>
          <w:szCs w:val="23"/>
        </w:rPr>
      </w:pPr>
      <w:r>
        <w:rPr>
          <w:b/>
          <w:sz w:val="20"/>
          <w:szCs w:val="23"/>
        </w:rPr>
        <w:t xml:space="preserve">Melinda </w:t>
      </w:r>
      <w:proofErr w:type="spellStart"/>
      <w:r>
        <w:rPr>
          <w:b/>
          <w:sz w:val="20"/>
          <w:szCs w:val="23"/>
        </w:rPr>
        <w:t>Rostal</w:t>
      </w:r>
      <w:proofErr w:type="spellEnd"/>
      <w:r>
        <w:rPr>
          <w:b/>
          <w:sz w:val="20"/>
          <w:szCs w:val="23"/>
        </w:rPr>
        <w:t>, MPH, DVM</w:t>
      </w:r>
    </w:p>
    <w:p w14:paraId="44648A43" w14:textId="77777777" w:rsidR="001F77FD" w:rsidRDefault="00851825" w:rsidP="00851825">
      <w:pPr>
        <w:pStyle w:val="ListParagraph"/>
        <w:numPr>
          <w:ilvl w:val="0"/>
          <w:numId w:val="10"/>
        </w:numPr>
        <w:rPr>
          <w:b/>
          <w:sz w:val="20"/>
          <w:szCs w:val="23"/>
        </w:rPr>
      </w:pPr>
      <w:r>
        <w:rPr>
          <w:b/>
          <w:sz w:val="20"/>
          <w:szCs w:val="23"/>
        </w:rPr>
        <w:t xml:space="preserve">Kevin </w:t>
      </w:r>
      <w:proofErr w:type="spellStart"/>
      <w:r>
        <w:rPr>
          <w:b/>
          <w:sz w:val="20"/>
          <w:szCs w:val="23"/>
        </w:rPr>
        <w:t>Olival</w:t>
      </w:r>
      <w:proofErr w:type="spellEnd"/>
      <w:r>
        <w:rPr>
          <w:b/>
          <w:sz w:val="20"/>
          <w:szCs w:val="23"/>
        </w:rPr>
        <w:t>, PhD</w:t>
      </w:r>
      <w:r w:rsidR="0049523A">
        <w:rPr>
          <w:b/>
          <w:sz w:val="20"/>
          <w:szCs w:val="23"/>
        </w:rPr>
        <w:t xml:space="preserve"> </w:t>
      </w:r>
    </w:p>
    <w:p w14:paraId="60190CEC" w14:textId="77777777" w:rsidR="00851825" w:rsidRDefault="00F23DDF" w:rsidP="00851825">
      <w:pPr>
        <w:pStyle w:val="ListParagraph"/>
        <w:numPr>
          <w:ilvl w:val="0"/>
          <w:numId w:val="10"/>
        </w:numPr>
        <w:rPr>
          <w:b/>
          <w:sz w:val="20"/>
          <w:szCs w:val="23"/>
        </w:rPr>
      </w:pPr>
      <w:proofErr w:type="spellStart"/>
      <w:r>
        <w:rPr>
          <w:b/>
          <w:sz w:val="20"/>
          <w:szCs w:val="23"/>
        </w:rPr>
        <w:t>Parviez</w:t>
      </w:r>
      <w:proofErr w:type="spellEnd"/>
      <w:r>
        <w:rPr>
          <w:b/>
          <w:sz w:val="20"/>
          <w:szCs w:val="23"/>
        </w:rPr>
        <w:t xml:space="preserve"> </w:t>
      </w:r>
      <w:proofErr w:type="spellStart"/>
      <w:r>
        <w:rPr>
          <w:b/>
          <w:sz w:val="20"/>
          <w:szCs w:val="23"/>
        </w:rPr>
        <w:t>Hosseini</w:t>
      </w:r>
      <w:proofErr w:type="spellEnd"/>
      <w:r>
        <w:rPr>
          <w:b/>
          <w:sz w:val="20"/>
          <w:szCs w:val="23"/>
        </w:rPr>
        <w:t>, PhD</w:t>
      </w:r>
    </w:p>
    <w:p w14:paraId="3C1198BE" w14:textId="77777777" w:rsidR="00F23DDF" w:rsidRDefault="00F23DDF" w:rsidP="00851825">
      <w:pPr>
        <w:pStyle w:val="ListParagraph"/>
        <w:numPr>
          <w:ilvl w:val="0"/>
          <w:numId w:val="10"/>
        </w:numPr>
        <w:rPr>
          <w:b/>
          <w:sz w:val="20"/>
          <w:szCs w:val="23"/>
        </w:rPr>
      </w:pPr>
      <w:r>
        <w:rPr>
          <w:b/>
          <w:sz w:val="20"/>
          <w:szCs w:val="23"/>
        </w:rPr>
        <w:t>Maureen Miller, PhD</w:t>
      </w:r>
    </w:p>
    <w:p w14:paraId="0A1D9728" w14:textId="4F19D6D9" w:rsidR="00F23DDF" w:rsidRDefault="00A469C1" w:rsidP="00851825">
      <w:pPr>
        <w:pStyle w:val="ListParagraph"/>
        <w:numPr>
          <w:ilvl w:val="0"/>
          <w:numId w:val="10"/>
        </w:numPr>
        <w:rPr>
          <w:b/>
          <w:sz w:val="20"/>
          <w:szCs w:val="23"/>
        </w:rPr>
      </w:pPr>
      <w:r>
        <w:rPr>
          <w:b/>
          <w:sz w:val="20"/>
          <w:szCs w:val="23"/>
        </w:rPr>
        <w:t xml:space="preserve">Carlos </w:t>
      </w:r>
      <w:proofErr w:type="spellStart"/>
      <w:r>
        <w:rPr>
          <w:b/>
          <w:sz w:val="20"/>
          <w:szCs w:val="23"/>
        </w:rPr>
        <w:t>Za</w:t>
      </w:r>
      <w:r w:rsidR="00106619">
        <w:rPr>
          <w:b/>
          <w:sz w:val="20"/>
          <w:szCs w:val="23"/>
        </w:rPr>
        <w:t>mbrana-Torrelio</w:t>
      </w:r>
      <w:proofErr w:type="spellEnd"/>
      <w:r w:rsidR="00F23DDF">
        <w:rPr>
          <w:b/>
          <w:sz w:val="20"/>
          <w:szCs w:val="23"/>
        </w:rPr>
        <w:t>, MS</w:t>
      </w:r>
    </w:p>
    <w:p w14:paraId="2C3C7CC0" w14:textId="77777777" w:rsidR="00F23DDF" w:rsidRPr="00851825" w:rsidRDefault="00F23DDF" w:rsidP="00851825">
      <w:pPr>
        <w:pStyle w:val="ListParagraph"/>
        <w:numPr>
          <w:ilvl w:val="0"/>
          <w:numId w:val="10"/>
        </w:numPr>
        <w:rPr>
          <w:b/>
          <w:sz w:val="20"/>
          <w:szCs w:val="23"/>
        </w:rPr>
      </w:pPr>
      <w:r>
        <w:rPr>
          <w:b/>
          <w:sz w:val="20"/>
          <w:szCs w:val="23"/>
        </w:rPr>
        <w:t>Al</w:t>
      </w:r>
      <w:r w:rsidR="00A469C1">
        <w:rPr>
          <w:b/>
          <w:sz w:val="20"/>
          <w:szCs w:val="23"/>
        </w:rPr>
        <w:t>l</w:t>
      </w:r>
      <w:r>
        <w:rPr>
          <w:b/>
          <w:sz w:val="20"/>
          <w:szCs w:val="23"/>
        </w:rPr>
        <w:t xml:space="preserve">ison </w:t>
      </w:r>
      <w:r w:rsidR="00A469C1">
        <w:rPr>
          <w:b/>
          <w:sz w:val="20"/>
          <w:szCs w:val="23"/>
        </w:rPr>
        <w:t>White</w:t>
      </w:r>
      <w:r>
        <w:rPr>
          <w:b/>
          <w:sz w:val="20"/>
          <w:szCs w:val="23"/>
        </w:rPr>
        <w:t>, MS</w:t>
      </w:r>
    </w:p>
    <w:p w14:paraId="278A9377" w14:textId="77777777" w:rsidR="00803174" w:rsidRDefault="006E6F37" w:rsidP="006E6F37">
      <w:pPr>
        <w:pStyle w:val="ListParagraph"/>
        <w:numPr>
          <w:ilvl w:val="0"/>
          <w:numId w:val="9"/>
        </w:numPr>
        <w:rPr>
          <w:b/>
          <w:sz w:val="20"/>
          <w:szCs w:val="23"/>
        </w:rPr>
      </w:pPr>
      <w:r w:rsidRPr="006E6F37">
        <w:rPr>
          <w:b/>
          <w:sz w:val="20"/>
          <w:szCs w:val="23"/>
        </w:rPr>
        <w:t xml:space="preserve">PROVISIONAL OPERATIONAL AND SECTORAL CAPABILITIES MATRICES        </w:t>
      </w:r>
    </w:p>
    <w:tbl>
      <w:tblPr>
        <w:tblStyle w:val="TableGrid"/>
        <w:tblW w:w="14019" w:type="dxa"/>
        <w:jc w:val="center"/>
        <w:tblInd w:w="-24" w:type="dxa"/>
        <w:tblLook w:val="04A0" w:firstRow="1" w:lastRow="0" w:firstColumn="1" w:lastColumn="0" w:noHBand="0" w:noVBand="1"/>
      </w:tblPr>
      <w:tblGrid>
        <w:gridCol w:w="2686"/>
        <w:gridCol w:w="2115"/>
        <w:gridCol w:w="1644"/>
        <w:gridCol w:w="1967"/>
        <w:gridCol w:w="1539"/>
        <w:gridCol w:w="1963"/>
        <w:gridCol w:w="2105"/>
      </w:tblGrid>
      <w:tr w:rsidR="006E6F37" w:rsidRPr="0035032A" w14:paraId="067B90A5" w14:textId="77777777" w:rsidTr="00E43844">
        <w:trPr>
          <w:trHeight w:val="161"/>
          <w:jc w:val="center"/>
        </w:trPr>
        <w:tc>
          <w:tcPr>
            <w:tcW w:w="14019" w:type="dxa"/>
            <w:gridSpan w:val="7"/>
          </w:tcPr>
          <w:p w14:paraId="0A47FB2D" w14:textId="77777777" w:rsidR="006E6F37" w:rsidRPr="0035032A" w:rsidRDefault="000442D5" w:rsidP="00E43844">
            <w:pPr>
              <w:pStyle w:val="Default"/>
              <w:rPr>
                <w:rFonts w:asciiTheme="minorHAnsi" w:hAnsiTheme="minorHAnsi"/>
                <w:b/>
                <w:color w:val="auto"/>
                <w:sz w:val="18"/>
                <w:szCs w:val="20"/>
              </w:rPr>
            </w:pPr>
            <w:r>
              <w:rPr>
                <w:rFonts w:asciiTheme="minorHAnsi" w:hAnsiTheme="minorHAnsi"/>
                <w:b/>
                <w:color w:val="auto"/>
                <w:sz w:val="20"/>
                <w:szCs w:val="20"/>
              </w:rPr>
              <w:t xml:space="preserve">TABLE 1.   </w:t>
            </w:r>
            <w:r w:rsidR="006E6F37" w:rsidRPr="006E6F37">
              <w:rPr>
                <w:rFonts w:asciiTheme="minorHAnsi" w:hAnsiTheme="minorHAnsi"/>
                <w:b/>
                <w:color w:val="auto"/>
                <w:sz w:val="20"/>
                <w:szCs w:val="20"/>
              </w:rPr>
              <w:t xml:space="preserve">TASK AREAS OF PRIORITY INTEREST </w:t>
            </w:r>
          </w:p>
        </w:tc>
      </w:tr>
      <w:tr w:rsidR="006E6F37" w:rsidRPr="0035032A" w14:paraId="247622B0" w14:textId="77777777" w:rsidTr="00E43844">
        <w:trPr>
          <w:trHeight w:val="926"/>
          <w:jc w:val="center"/>
        </w:trPr>
        <w:tc>
          <w:tcPr>
            <w:tcW w:w="2686" w:type="dxa"/>
          </w:tcPr>
          <w:p w14:paraId="4D68AC42" w14:textId="77777777" w:rsidR="006E6F37" w:rsidRPr="0035032A" w:rsidRDefault="006E6F37" w:rsidP="005031DD">
            <w:pPr>
              <w:pStyle w:val="Default"/>
              <w:jc w:val="center"/>
              <w:rPr>
                <w:rFonts w:asciiTheme="minorHAnsi" w:hAnsiTheme="minorHAnsi"/>
                <w:b/>
                <w:bCs/>
                <w:sz w:val="18"/>
                <w:szCs w:val="20"/>
              </w:rPr>
            </w:pPr>
            <w:r w:rsidRPr="0035032A">
              <w:rPr>
                <w:rFonts w:asciiTheme="minorHAnsi" w:hAnsiTheme="minorHAnsi"/>
                <w:b/>
                <w:bCs/>
                <w:sz w:val="18"/>
                <w:szCs w:val="20"/>
              </w:rPr>
              <w:t>TASK 1</w:t>
            </w:r>
          </w:p>
          <w:p w14:paraId="43A54129" w14:textId="77777777" w:rsidR="006E6F37" w:rsidRPr="0035032A" w:rsidRDefault="006E6F37" w:rsidP="005031DD">
            <w:pPr>
              <w:pStyle w:val="Default"/>
              <w:jc w:val="center"/>
              <w:rPr>
                <w:rFonts w:asciiTheme="minorHAnsi" w:hAnsiTheme="minorHAnsi"/>
                <w:b/>
                <w:bCs/>
                <w:sz w:val="18"/>
                <w:szCs w:val="20"/>
              </w:rPr>
            </w:pPr>
            <w:r w:rsidRPr="0035032A">
              <w:rPr>
                <w:rFonts w:asciiTheme="minorHAnsi" w:hAnsiTheme="minorHAnsi"/>
                <w:b/>
                <w:bCs/>
                <w:sz w:val="18"/>
                <w:szCs w:val="20"/>
              </w:rPr>
              <w:t>Program Management</w:t>
            </w:r>
            <w:r>
              <w:rPr>
                <w:rFonts w:asciiTheme="minorHAnsi" w:hAnsiTheme="minorHAnsi"/>
                <w:b/>
                <w:bCs/>
                <w:sz w:val="18"/>
                <w:szCs w:val="20"/>
              </w:rPr>
              <w:t xml:space="preserve">, </w:t>
            </w:r>
            <w:r w:rsidRPr="0035032A">
              <w:rPr>
                <w:rFonts w:asciiTheme="minorHAnsi" w:hAnsiTheme="minorHAnsi"/>
                <w:b/>
                <w:bCs/>
                <w:sz w:val="18"/>
                <w:szCs w:val="20"/>
              </w:rPr>
              <w:t>Administration</w:t>
            </w:r>
            <w:r>
              <w:rPr>
                <w:rFonts w:asciiTheme="minorHAnsi" w:hAnsiTheme="minorHAnsi"/>
                <w:b/>
                <w:bCs/>
                <w:sz w:val="18"/>
                <w:szCs w:val="20"/>
              </w:rPr>
              <w:t>, and Coordination</w:t>
            </w:r>
          </w:p>
        </w:tc>
        <w:tc>
          <w:tcPr>
            <w:tcW w:w="2115" w:type="dxa"/>
          </w:tcPr>
          <w:p w14:paraId="35C18BED" w14:textId="77777777" w:rsidR="006E6F37" w:rsidRPr="0035032A" w:rsidRDefault="006E6F37" w:rsidP="005031DD">
            <w:pPr>
              <w:pStyle w:val="Default"/>
              <w:jc w:val="center"/>
              <w:rPr>
                <w:rFonts w:asciiTheme="minorHAnsi" w:hAnsiTheme="minorHAnsi"/>
                <w:b/>
                <w:bCs/>
                <w:sz w:val="18"/>
                <w:szCs w:val="20"/>
              </w:rPr>
            </w:pPr>
            <w:r w:rsidRPr="0035032A">
              <w:rPr>
                <w:rFonts w:asciiTheme="minorHAnsi" w:hAnsiTheme="minorHAnsi"/>
                <w:b/>
                <w:bCs/>
                <w:sz w:val="18"/>
                <w:szCs w:val="20"/>
              </w:rPr>
              <w:t>TASK 2</w:t>
            </w:r>
          </w:p>
          <w:p w14:paraId="5D21C841" w14:textId="77777777" w:rsidR="006E6F37" w:rsidRPr="0035032A" w:rsidRDefault="006E6F37" w:rsidP="005031DD">
            <w:pPr>
              <w:pStyle w:val="Default"/>
              <w:jc w:val="center"/>
              <w:rPr>
                <w:rFonts w:asciiTheme="minorHAnsi" w:hAnsiTheme="minorHAnsi"/>
                <w:b/>
                <w:bCs/>
                <w:sz w:val="18"/>
                <w:szCs w:val="20"/>
              </w:rPr>
            </w:pPr>
            <w:r w:rsidRPr="0035032A">
              <w:rPr>
                <w:rFonts w:asciiTheme="minorHAnsi" w:hAnsiTheme="minorHAnsi"/>
                <w:b/>
                <w:bCs/>
                <w:sz w:val="18"/>
                <w:szCs w:val="20"/>
              </w:rPr>
              <w:t>Visiting Scientists and Scientific Mentors</w:t>
            </w:r>
          </w:p>
          <w:p w14:paraId="740C588D"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bCs/>
                <w:sz w:val="16"/>
                <w:szCs w:val="20"/>
              </w:rPr>
              <w:t>[</w:t>
            </w:r>
            <w:proofErr w:type="gramStart"/>
            <w:r w:rsidRPr="0035032A">
              <w:rPr>
                <w:rFonts w:asciiTheme="minorHAnsi" w:hAnsiTheme="minorHAnsi"/>
                <w:b/>
                <w:bCs/>
                <w:sz w:val="16"/>
                <w:szCs w:val="20"/>
              </w:rPr>
              <w:t>overseas</w:t>
            </w:r>
            <w:proofErr w:type="gramEnd"/>
            <w:r w:rsidRPr="0035032A">
              <w:rPr>
                <w:rFonts w:asciiTheme="minorHAnsi" w:hAnsiTheme="minorHAnsi"/>
                <w:b/>
                <w:bCs/>
                <w:sz w:val="16"/>
                <w:szCs w:val="20"/>
              </w:rPr>
              <w:t xml:space="preserve"> </w:t>
            </w:r>
            <w:r>
              <w:rPr>
                <w:rFonts w:asciiTheme="minorHAnsi" w:hAnsiTheme="minorHAnsi"/>
                <w:b/>
                <w:bCs/>
                <w:sz w:val="16"/>
                <w:szCs w:val="20"/>
              </w:rPr>
              <w:t>based</w:t>
            </w:r>
            <w:r w:rsidRPr="0035032A">
              <w:rPr>
                <w:rFonts w:asciiTheme="minorHAnsi" w:hAnsiTheme="minorHAnsi"/>
                <w:b/>
                <w:bCs/>
                <w:sz w:val="16"/>
                <w:szCs w:val="20"/>
              </w:rPr>
              <w:t>]</w:t>
            </w:r>
          </w:p>
        </w:tc>
        <w:tc>
          <w:tcPr>
            <w:tcW w:w="1644" w:type="dxa"/>
          </w:tcPr>
          <w:p w14:paraId="18AE0B7E"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8"/>
                <w:szCs w:val="20"/>
              </w:rPr>
              <w:t>TASK 3</w:t>
            </w:r>
          </w:p>
          <w:p w14:paraId="67FB9466" w14:textId="77777777" w:rsidR="006E6F37"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8"/>
                <w:szCs w:val="20"/>
              </w:rPr>
              <w:t>Qualified Trainers</w:t>
            </w:r>
          </w:p>
          <w:p w14:paraId="3978ECAA" w14:textId="77777777" w:rsidR="006E6F37" w:rsidRPr="0035032A" w:rsidRDefault="006E6F37" w:rsidP="005031DD">
            <w:pPr>
              <w:pStyle w:val="Default"/>
              <w:jc w:val="center"/>
              <w:rPr>
                <w:rFonts w:asciiTheme="minorHAnsi" w:hAnsiTheme="minorHAnsi"/>
                <w:b/>
                <w:color w:val="auto"/>
                <w:sz w:val="18"/>
                <w:szCs w:val="20"/>
              </w:rPr>
            </w:pPr>
            <w:r>
              <w:rPr>
                <w:rFonts w:asciiTheme="minorHAnsi" w:hAnsiTheme="minorHAnsi"/>
                <w:b/>
                <w:color w:val="auto"/>
                <w:sz w:val="18"/>
                <w:szCs w:val="20"/>
              </w:rPr>
              <w:t>[US-based]</w:t>
            </w:r>
          </w:p>
        </w:tc>
        <w:tc>
          <w:tcPr>
            <w:tcW w:w="1967" w:type="dxa"/>
          </w:tcPr>
          <w:p w14:paraId="6F1C06E7"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8"/>
                <w:szCs w:val="20"/>
              </w:rPr>
              <w:t>TASK 4</w:t>
            </w:r>
          </w:p>
          <w:p w14:paraId="2141C142"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8"/>
                <w:szCs w:val="20"/>
              </w:rPr>
              <w:t>Subject Matter Experts</w:t>
            </w:r>
          </w:p>
          <w:p w14:paraId="729FC5D5" w14:textId="77777777" w:rsidR="006E6F37" w:rsidRPr="0035032A" w:rsidRDefault="006E6F37" w:rsidP="005031DD">
            <w:pPr>
              <w:pStyle w:val="Default"/>
              <w:jc w:val="center"/>
              <w:rPr>
                <w:rFonts w:asciiTheme="minorHAnsi" w:hAnsiTheme="minorHAnsi"/>
                <w:b/>
                <w:sz w:val="18"/>
                <w:szCs w:val="20"/>
              </w:rPr>
            </w:pPr>
            <w:r w:rsidRPr="0035032A">
              <w:rPr>
                <w:rFonts w:asciiTheme="minorHAnsi" w:hAnsiTheme="minorHAnsi"/>
                <w:b/>
                <w:color w:val="auto"/>
                <w:sz w:val="16"/>
                <w:szCs w:val="20"/>
              </w:rPr>
              <w:t>[</w:t>
            </w:r>
            <w:r>
              <w:rPr>
                <w:rFonts w:asciiTheme="minorHAnsi" w:hAnsiTheme="minorHAnsi"/>
                <w:b/>
                <w:color w:val="auto"/>
                <w:sz w:val="16"/>
                <w:szCs w:val="20"/>
              </w:rPr>
              <w:t>US-based</w:t>
            </w:r>
            <w:r w:rsidRPr="0035032A">
              <w:rPr>
                <w:rFonts w:asciiTheme="minorHAnsi" w:hAnsiTheme="minorHAnsi"/>
                <w:b/>
                <w:color w:val="auto"/>
                <w:sz w:val="16"/>
                <w:szCs w:val="20"/>
              </w:rPr>
              <w:t>]</w:t>
            </w:r>
          </w:p>
        </w:tc>
        <w:tc>
          <w:tcPr>
            <w:tcW w:w="1539" w:type="dxa"/>
          </w:tcPr>
          <w:p w14:paraId="767579CE"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8"/>
                <w:szCs w:val="20"/>
              </w:rPr>
              <w:t>TASK 5</w:t>
            </w:r>
          </w:p>
          <w:p w14:paraId="13CED6BD"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8"/>
                <w:szCs w:val="20"/>
              </w:rPr>
              <w:t>Research Collaborators</w:t>
            </w:r>
          </w:p>
          <w:p w14:paraId="0110D0BA"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6"/>
                <w:szCs w:val="20"/>
              </w:rPr>
              <w:t xml:space="preserve">[US-based] </w:t>
            </w:r>
          </w:p>
        </w:tc>
        <w:tc>
          <w:tcPr>
            <w:tcW w:w="1963" w:type="dxa"/>
          </w:tcPr>
          <w:p w14:paraId="7D242EA8"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8"/>
                <w:szCs w:val="20"/>
              </w:rPr>
              <w:t>TASK 6</w:t>
            </w:r>
          </w:p>
          <w:p w14:paraId="701EE0FC"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8"/>
                <w:szCs w:val="20"/>
              </w:rPr>
              <w:t xml:space="preserve">  </w:t>
            </w:r>
            <w:proofErr w:type="gramStart"/>
            <w:r w:rsidRPr="0035032A">
              <w:rPr>
                <w:rFonts w:asciiTheme="minorHAnsi" w:hAnsiTheme="minorHAnsi"/>
                <w:b/>
                <w:color w:val="auto"/>
                <w:sz w:val="18"/>
                <w:szCs w:val="20"/>
              </w:rPr>
              <w:t>disease</w:t>
            </w:r>
            <w:proofErr w:type="gramEnd"/>
            <w:r w:rsidRPr="0035032A">
              <w:rPr>
                <w:rFonts w:asciiTheme="minorHAnsi" w:hAnsiTheme="minorHAnsi"/>
                <w:b/>
                <w:color w:val="auto"/>
                <w:sz w:val="18"/>
                <w:szCs w:val="20"/>
              </w:rPr>
              <w:t xml:space="preserve"> outbreak detection / response operations</w:t>
            </w:r>
          </w:p>
        </w:tc>
        <w:tc>
          <w:tcPr>
            <w:tcW w:w="2105" w:type="dxa"/>
          </w:tcPr>
          <w:p w14:paraId="6BAA15F6"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8"/>
                <w:szCs w:val="20"/>
              </w:rPr>
              <w:t>TASK 7</w:t>
            </w:r>
          </w:p>
          <w:p w14:paraId="7719664A"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8"/>
                <w:szCs w:val="20"/>
              </w:rPr>
              <w:t>Small-scale research projects</w:t>
            </w:r>
          </w:p>
        </w:tc>
      </w:tr>
      <w:tr w:rsidR="006E6F37" w:rsidRPr="0035032A" w14:paraId="55A3D9F4" w14:textId="77777777" w:rsidTr="00E43844">
        <w:trPr>
          <w:trHeight w:val="305"/>
          <w:jc w:val="center"/>
        </w:trPr>
        <w:tc>
          <w:tcPr>
            <w:tcW w:w="2686" w:type="dxa"/>
          </w:tcPr>
          <w:p w14:paraId="631D92E0" w14:textId="77777777" w:rsidR="006E6F37" w:rsidRPr="0035032A" w:rsidRDefault="006E6F37" w:rsidP="005031DD">
            <w:pPr>
              <w:pStyle w:val="Default"/>
              <w:jc w:val="center"/>
              <w:rPr>
                <w:rFonts w:asciiTheme="minorHAnsi" w:hAnsiTheme="minorHAnsi"/>
                <w:b/>
                <w:bCs/>
                <w:sz w:val="18"/>
                <w:szCs w:val="20"/>
              </w:rPr>
            </w:pPr>
            <w:r w:rsidRPr="0035032A">
              <w:rPr>
                <w:rFonts w:asciiTheme="minorHAnsi" w:hAnsiTheme="minorHAnsi"/>
                <w:b/>
                <w:bCs/>
                <w:sz w:val="18"/>
                <w:szCs w:val="20"/>
              </w:rPr>
              <w:t>LEIDOS</w:t>
            </w:r>
          </w:p>
        </w:tc>
        <w:tc>
          <w:tcPr>
            <w:tcW w:w="2115" w:type="dxa"/>
          </w:tcPr>
          <w:p w14:paraId="00988C85" w14:textId="77777777" w:rsidR="006E6F37" w:rsidRPr="0035032A" w:rsidRDefault="006E6F37" w:rsidP="006740B8">
            <w:pPr>
              <w:pStyle w:val="Default"/>
              <w:jc w:val="center"/>
              <w:rPr>
                <w:rFonts w:asciiTheme="minorHAnsi" w:hAnsiTheme="minorHAnsi"/>
                <w:b/>
                <w:bCs/>
                <w:sz w:val="18"/>
                <w:szCs w:val="20"/>
              </w:rPr>
            </w:pPr>
            <w:r w:rsidRPr="0035032A">
              <w:rPr>
                <w:rFonts w:asciiTheme="minorHAnsi" w:hAnsiTheme="minorHAnsi"/>
                <w:b/>
                <w:bCs/>
                <w:sz w:val="18"/>
                <w:szCs w:val="20"/>
              </w:rPr>
              <w:t>LEIDOS</w:t>
            </w:r>
            <w:proofErr w:type="gramStart"/>
            <w:r w:rsidRPr="0035032A">
              <w:rPr>
                <w:rFonts w:asciiTheme="minorHAnsi" w:hAnsiTheme="minorHAnsi"/>
                <w:b/>
                <w:bCs/>
                <w:sz w:val="18"/>
                <w:szCs w:val="20"/>
              </w:rPr>
              <w:t xml:space="preserve">, </w:t>
            </w:r>
            <w:r w:rsidR="006740B8">
              <w:rPr>
                <w:rFonts w:asciiTheme="minorHAnsi" w:hAnsiTheme="minorHAnsi"/>
                <w:b/>
                <w:bCs/>
                <w:sz w:val="18"/>
                <w:szCs w:val="20"/>
                <w:highlight w:val="magenta"/>
              </w:rPr>
              <w:t>?</w:t>
            </w:r>
            <w:proofErr w:type="gramEnd"/>
            <w:r w:rsidRPr="006E6F37">
              <w:rPr>
                <w:rFonts w:asciiTheme="minorHAnsi" w:hAnsiTheme="minorHAnsi"/>
                <w:b/>
                <w:bCs/>
                <w:sz w:val="18"/>
                <w:szCs w:val="20"/>
                <w:highlight w:val="magenta"/>
              </w:rPr>
              <w:t>?</w:t>
            </w:r>
          </w:p>
        </w:tc>
        <w:tc>
          <w:tcPr>
            <w:tcW w:w="1644" w:type="dxa"/>
          </w:tcPr>
          <w:p w14:paraId="7753886E" w14:textId="77777777" w:rsidR="006E6F37" w:rsidRPr="0035032A" w:rsidRDefault="006E6F37" w:rsidP="006740B8">
            <w:pPr>
              <w:pStyle w:val="Default"/>
              <w:jc w:val="center"/>
              <w:rPr>
                <w:rFonts w:asciiTheme="minorHAnsi" w:hAnsiTheme="minorHAnsi"/>
                <w:b/>
                <w:color w:val="auto"/>
                <w:sz w:val="18"/>
                <w:szCs w:val="20"/>
              </w:rPr>
            </w:pPr>
            <w:r w:rsidRPr="0035032A">
              <w:rPr>
                <w:rFonts w:asciiTheme="minorHAnsi" w:hAnsiTheme="minorHAnsi"/>
                <w:b/>
                <w:color w:val="auto"/>
                <w:sz w:val="18"/>
                <w:szCs w:val="20"/>
              </w:rPr>
              <w:t xml:space="preserve">LEIDOS, </w:t>
            </w:r>
            <w:r w:rsidR="00F23DDF">
              <w:rPr>
                <w:rFonts w:asciiTheme="minorHAnsi" w:hAnsiTheme="minorHAnsi"/>
                <w:b/>
                <w:color w:val="auto"/>
                <w:sz w:val="18"/>
                <w:szCs w:val="20"/>
              </w:rPr>
              <w:t>EHA</w:t>
            </w:r>
            <w:proofErr w:type="gramStart"/>
            <w:r w:rsidR="00F23DDF">
              <w:rPr>
                <w:rFonts w:asciiTheme="minorHAnsi" w:hAnsiTheme="minorHAnsi"/>
                <w:b/>
                <w:color w:val="auto"/>
                <w:sz w:val="18"/>
                <w:szCs w:val="20"/>
              </w:rPr>
              <w:t>,</w:t>
            </w:r>
            <w:r w:rsidR="006740B8">
              <w:rPr>
                <w:rFonts w:asciiTheme="minorHAnsi" w:hAnsiTheme="minorHAnsi"/>
                <w:b/>
                <w:color w:val="auto"/>
                <w:sz w:val="18"/>
                <w:szCs w:val="20"/>
                <w:highlight w:val="magenta"/>
              </w:rPr>
              <w:t xml:space="preserve"> </w:t>
            </w:r>
            <w:r w:rsidRPr="006E6F37">
              <w:rPr>
                <w:rFonts w:asciiTheme="minorHAnsi" w:hAnsiTheme="minorHAnsi"/>
                <w:b/>
                <w:color w:val="auto"/>
                <w:sz w:val="18"/>
                <w:szCs w:val="20"/>
                <w:highlight w:val="magenta"/>
              </w:rPr>
              <w:t xml:space="preserve"> </w:t>
            </w:r>
            <w:r w:rsidR="006740B8">
              <w:rPr>
                <w:rFonts w:asciiTheme="minorHAnsi" w:hAnsiTheme="minorHAnsi"/>
                <w:b/>
                <w:color w:val="auto"/>
                <w:sz w:val="18"/>
                <w:szCs w:val="20"/>
                <w:highlight w:val="magenta"/>
              </w:rPr>
              <w:t>?</w:t>
            </w:r>
            <w:proofErr w:type="gramEnd"/>
            <w:r w:rsidRPr="006E6F37">
              <w:rPr>
                <w:rFonts w:asciiTheme="minorHAnsi" w:hAnsiTheme="minorHAnsi"/>
                <w:b/>
                <w:color w:val="auto"/>
                <w:sz w:val="18"/>
                <w:szCs w:val="20"/>
                <w:highlight w:val="magenta"/>
              </w:rPr>
              <w:t>?</w:t>
            </w:r>
          </w:p>
        </w:tc>
        <w:tc>
          <w:tcPr>
            <w:tcW w:w="1967" w:type="dxa"/>
          </w:tcPr>
          <w:p w14:paraId="5AA5D40E" w14:textId="77777777" w:rsidR="006E6F37" w:rsidRPr="0035032A" w:rsidRDefault="006E6F37" w:rsidP="005031DD">
            <w:pPr>
              <w:pStyle w:val="Default"/>
              <w:jc w:val="center"/>
              <w:rPr>
                <w:rFonts w:asciiTheme="minorHAnsi" w:hAnsiTheme="minorHAnsi"/>
                <w:b/>
                <w:color w:val="auto"/>
                <w:sz w:val="18"/>
                <w:szCs w:val="20"/>
              </w:rPr>
            </w:pPr>
            <w:r w:rsidRPr="0035032A">
              <w:rPr>
                <w:rFonts w:asciiTheme="minorHAnsi" w:hAnsiTheme="minorHAnsi"/>
                <w:b/>
                <w:color w:val="auto"/>
                <w:sz w:val="18"/>
                <w:szCs w:val="20"/>
              </w:rPr>
              <w:t>LEIDOS</w:t>
            </w:r>
            <w:r w:rsidR="00803174">
              <w:rPr>
                <w:rFonts w:asciiTheme="minorHAnsi" w:hAnsiTheme="minorHAnsi"/>
                <w:b/>
                <w:color w:val="auto"/>
                <w:sz w:val="18"/>
                <w:szCs w:val="20"/>
              </w:rPr>
              <w:t>,</w:t>
            </w:r>
            <w:r w:rsidR="00F23DDF">
              <w:rPr>
                <w:rFonts w:asciiTheme="minorHAnsi" w:hAnsiTheme="minorHAnsi"/>
                <w:b/>
                <w:color w:val="auto"/>
                <w:sz w:val="18"/>
                <w:szCs w:val="20"/>
              </w:rPr>
              <w:t xml:space="preserve"> </w:t>
            </w:r>
            <w:proofErr w:type="gramStart"/>
            <w:r w:rsidR="00F23DDF">
              <w:rPr>
                <w:rFonts w:asciiTheme="minorHAnsi" w:hAnsiTheme="minorHAnsi"/>
                <w:b/>
                <w:color w:val="auto"/>
                <w:sz w:val="18"/>
                <w:szCs w:val="20"/>
              </w:rPr>
              <w:t>EHA</w:t>
            </w:r>
            <w:r w:rsidR="00803174">
              <w:rPr>
                <w:rFonts w:asciiTheme="minorHAnsi" w:hAnsiTheme="minorHAnsi"/>
                <w:b/>
                <w:color w:val="auto"/>
                <w:sz w:val="18"/>
                <w:szCs w:val="20"/>
              </w:rPr>
              <w:t xml:space="preserve"> </w:t>
            </w:r>
            <w:r w:rsidRPr="0035032A">
              <w:rPr>
                <w:rFonts w:asciiTheme="minorHAnsi" w:hAnsiTheme="minorHAnsi"/>
                <w:b/>
                <w:color w:val="auto"/>
                <w:sz w:val="18"/>
                <w:szCs w:val="20"/>
              </w:rPr>
              <w:t xml:space="preserve"> </w:t>
            </w:r>
            <w:r w:rsidR="00803174">
              <w:rPr>
                <w:rFonts w:asciiTheme="minorHAnsi" w:hAnsiTheme="minorHAnsi"/>
                <w:b/>
                <w:color w:val="auto"/>
                <w:sz w:val="18"/>
                <w:szCs w:val="20"/>
                <w:highlight w:val="magenta"/>
              </w:rPr>
              <w:t>?</w:t>
            </w:r>
            <w:proofErr w:type="gramEnd"/>
            <w:r w:rsidR="00803174" w:rsidRPr="006E6F37">
              <w:rPr>
                <w:rFonts w:asciiTheme="minorHAnsi" w:hAnsiTheme="minorHAnsi"/>
                <w:b/>
                <w:color w:val="auto"/>
                <w:sz w:val="18"/>
                <w:szCs w:val="20"/>
                <w:highlight w:val="magenta"/>
              </w:rPr>
              <w:t>?</w:t>
            </w:r>
          </w:p>
        </w:tc>
        <w:tc>
          <w:tcPr>
            <w:tcW w:w="1539" w:type="dxa"/>
          </w:tcPr>
          <w:p w14:paraId="26C4F847" w14:textId="77777777" w:rsidR="006E6F37" w:rsidRPr="0035032A" w:rsidRDefault="00F23DDF" w:rsidP="005031DD">
            <w:pPr>
              <w:pStyle w:val="Default"/>
              <w:jc w:val="center"/>
              <w:rPr>
                <w:rFonts w:asciiTheme="minorHAnsi" w:hAnsiTheme="minorHAnsi"/>
                <w:b/>
                <w:color w:val="auto"/>
                <w:sz w:val="18"/>
                <w:szCs w:val="20"/>
              </w:rPr>
            </w:pPr>
            <w:r w:rsidRPr="00F23DDF">
              <w:rPr>
                <w:rFonts w:asciiTheme="minorHAnsi" w:hAnsiTheme="minorHAnsi"/>
                <w:b/>
                <w:color w:val="auto"/>
                <w:sz w:val="18"/>
                <w:szCs w:val="20"/>
              </w:rPr>
              <w:t>EHA</w:t>
            </w:r>
            <w:proofErr w:type="gramStart"/>
            <w:r w:rsidRPr="00F23DDF">
              <w:rPr>
                <w:rFonts w:asciiTheme="minorHAnsi" w:hAnsiTheme="minorHAnsi"/>
                <w:b/>
                <w:color w:val="auto"/>
                <w:sz w:val="18"/>
                <w:szCs w:val="20"/>
              </w:rPr>
              <w:t xml:space="preserve">, </w:t>
            </w:r>
            <w:r w:rsidR="006740B8">
              <w:rPr>
                <w:rFonts w:asciiTheme="minorHAnsi" w:hAnsiTheme="minorHAnsi"/>
                <w:b/>
                <w:color w:val="auto"/>
                <w:sz w:val="18"/>
                <w:szCs w:val="20"/>
                <w:highlight w:val="magenta"/>
              </w:rPr>
              <w:t>?</w:t>
            </w:r>
            <w:proofErr w:type="gramEnd"/>
            <w:r w:rsidR="006E6F37" w:rsidRPr="006E6F37">
              <w:rPr>
                <w:rFonts w:asciiTheme="minorHAnsi" w:hAnsiTheme="minorHAnsi"/>
                <w:b/>
                <w:color w:val="auto"/>
                <w:sz w:val="18"/>
                <w:szCs w:val="20"/>
                <w:highlight w:val="magenta"/>
              </w:rPr>
              <w:t>?</w:t>
            </w:r>
          </w:p>
        </w:tc>
        <w:tc>
          <w:tcPr>
            <w:tcW w:w="1963" w:type="dxa"/>
          </w:tcPr>
          <w:p w14:paraId="6D757170" w14:textId="77777777" w:rsidR="006E6F37" w:rsidRPr="0035032A" w:rsidRDefault="006E6F37" w:rsidP="006740B8">
            <w:pPr>
              <w:pStyle w:val="Default"/>
              <w:jc w:val="center"/>
              <w:rPr>
                <w:rFonts w:asciiTheme="minorHAnsi" w:hAnsiTheme="minorHAnsi"/>
                <w:b/>
                <w:color w:val="auto"/>
                <w:sz w:val="18"/>
                <w:szCs w:val="20"/>
              </w:rPr>
            </w:pPr>
            <w:r w:rsidRPr="0035032A">
              <w:rPr>
                <w:rFonts w:asciiTheme="minorHAnsi" w:hAnsiTheme="minorHAnsi"/>
                <w:b/>
                <w:color w:val="auto"/>
                <w:sz w:val="18"/>
                <w:szCs w:val="20"/>
              </w:rPr>
              <w:t>LEIDOS</w:t>
            </w:r>
            <w:proofErr w:type="gramStart"/>
            <w:r w:rsidRPr="0035032A">
              <w:rPr>
                <w:rFonts w:asciiTheme="minorHAnsi" w:hAnsiTheme="minorHAnsi"/>
                <w:b/>
                <w:color w:val="auto"/>
                <w:sz w:val="18"/>
                <w:szCs w:val="20"/>
              </w:rPr>
              <w:t xml:space="preserve">,  </w:t>
            </w:r>
            <w:r w:rsidR="00F23DDF">
              <w:rPr>
                <w:rFonts w:asciiTheme="minorHAnsi" w:hAnsiTheme="minorHAnsi"/>
                <w:b/>
                <w:color w:val="auto"/>
                <w:sz w:val="18"/>
                <w:szCs w:val="20"/>
              </w:rPr>
              <w:t>EHA</w:t>
            </w:r>
            <w:proofErr w:type="gramEnd"/>
            <w:r w:rsidRPr="0035032A">
              <w:rPr>
                <w:rFonts w:asciiTheme="minorHAnsi" w:hAnsiTheme="minorHAnsi"/>
                <w:b/>
                <w:color w:val="auto"/>
                <w:sz w:val="18"/>
                <w:szCs w:val="20"/>
              </w:rPr>
              <w:t xml:space="preserve">  </w:t>
            </w:r>
            <w:r w:rsidR="006740B8">
              <w:rPr>
                <w:rFonts w:asciiTheme="minorHAnsi" w:hAnsiTheme="minorHAnsi"/>
                <w:b/>
                <w:color w:val="auto"/>
                <w:sz w:val="18"/>
                <w:szCs w:val="20"/>
                <w:highlight w:val="magenta"/>
              </w:rPr>
              <w:t>?</w:t>
            </w:r>
            <w:r w:rsidRPr="006E6F37">
              <w:rPr>
                <w:rFonts w:asciiTheme="minorHAnsi" w:hAnsiTheme="minorHAnsi"/>
                <w:b/>
                <w:color w:val="auto"/>
                <w:sz w:val="18"/>
                <w:szCs w:val="20"/>
                <w:highlight w:val="magenta"/>
              </w:rPr>
              <w:t>?</w:t>
            </w:r>
          </w:p>
        </w:tc>
        <w:tc>
          <w:tcPr>
            <w:tcW w:w="2105" w:type="dxa"/>
          </w:tcPr>
          <w:p w14:paraId="4D8DD7FD" w14:textId="77777777" w:rsidR="006E6F37" w:rsidRPr="0035032A" w:rsidRDefault="006E6F37" w:rsidP="006740B8">
            <w:pPr>
              <w:pStyle w:val="Default"/>
              <w:jc w:val="center"/>
              <w:rPr>
                <w:rFonts w:asciiTheme="minorHAnsi" w:hAnsiTheme="minorHAnsi"/>
                <w:b/>
                <w:color w:val="auto"/>
                <w:sz w:val="18"/>
                <w:szCs w:val="20"/>
              </w:rPr>
            </w:pPr>
            <w:r w:rsidRPr="0035032A">
              <w:rPr>
                <w:rFonts w:asciiTheme="minorHAnsi" w:hAnsiTheme="minorHAnsi"/>
                <w:b/>
                <w:color w:val="auto"/>
                <w:sz w:val="18"/>
                <w:szCs w:val="20"/>
              </w:rPr>
              <w:t>LEIDOS,</w:t>
            </w:r>
            <w:r w:rsidR="00F23DDF">
              <w:rPr>
                <w:rFonts w:asciiTheme="minorHAnsi" w:hAnsiTheme="minorHAnsi"/>
                <w:b/>
                <w:color w:val="auto"/>
                <w:sz w:val="18"/>
                <w:szCs w:val="20"/>
              </w:rPr>
              <w:t xml:space="preserve"> </w:t>
            </w:r>
            <w:proofErr w:type="gramStart"/>
            <w:r w:rsidR="00F23DDF">
              <w:rPr>
                <w:rFonts w:asciiTheme="minorHAnsi" w:hAnsiTheme="minorHAnsi"/>
                <w:b/>
                <w:color w:val="auto"/>
                <w:sz w:val="18"/>
                <w:szCs w:val="20"/>
              </w:rPr>
              <w:t>EHA</w:t>
            </w:r>
            <w:r w:rsidRPr="0035032A">
              <w:rPr>
                <w:rFonts w:asciiTheme="minorHAnsi" w:hAnsiTheme="minorHAnsi"/>
                <w:b/>
                <w:color w:val="auto"/>
                <w:sz w:val="18"/>
                <w:szCs w:val="20"/>
              </w:rPr>
              <w:t xml:space="preserve"> </w:t>
            </w:r>
            <w:r w:rsidR="006740B8">
              <w:rPr>
                <w:rFonts w:asciiTheme="minorHAnsi" w:hAnsiTheme="minorHAnsi"/>
                <w:b/>
                <w:color w:val="auto"/>
                <w:sz w:val="18"/>
                <w:szCs w:val="20"/>
                <w:highlight w:val="magenta"/>
              </w:rPr>
              <w:t>?</w:t>
            </w:r>
            <w:proofErr w:type="gramEnd"/>
            <w:r w:rsidRPr="006E6F37">
              <w:rPr>
                <w:rFonts w:asciiTheme="minorHAnsi" w:hAnsiTheme="minorHAnsi"/>
                <w:b/>
                <w:color w:val="auto"/>
                <w:sz w:val="18"/>
                <w:szCs w:val="20"/>
                <w:highlight w:val="magenta"/>
              </w:rPr>
              <w:t>?</w:t>
            </w:r>
            <w:r w:rsidRPr="0035032A">
              <w:rPr>
                <w:rFonts w:asciiTheme="minorHAnsi" w:hAnsiTheme="minorHAnsi"/>
                <w:b/>
                <w:color w:val="auto"/>
                <w:sz w:val="18"/>
                <w:szCs w:val="20"/>
              </w:rPr>
              <w:t xml:space="preserve"> </w:t>
            </w:r>
          </w:p>
        </w:tc>
      </w:tr>
    </w:tbl>
    <w:p w14:paraId="09ED45B4" w14:textId="77777777" w:rsidR="006740B8" w:rsidRPr="00B86238" w:rsidRDefault="006E6F37" w:rsidP="006E6F37">
      <w:pPr>
        <w:rPr>
          <w:b/>
          <w:sz w:val="10"/>
          <w:szCs w:val="23"/>
        </w:rPr>
      </w:pPr>
      <w:r w:rsidRPr="0035032A">
        <w:rPr>
          <w:b/>
          <w:szCs w:val="23"/>
        </w:rPr>
        <w:t xml:space="preserve"> </w:t>
      </w:r>
    </w:p>
    <w:tbl>
      <w:tblPr>
        <w:tblStyle w:val="TableGrid"/>
        <w:tblW w:w="14142" w:type="dxa"/>
        <w:jc w:val="center"/>
        <w:tblInd w:w="-52" w:type="dxa"/>
        <w:tblLayout w:type="fixed"/>
        <w:tblLook w:val="04A0" w:firstRow="1" w:lastRow="0" w:firstColumn="1" w:lastColumn="0" w:noHBand="0" w:noVBand="1"/>
      </w:tblPr>
      <w:tblGrid>
        <w:gridCol w:w="960"/>
        <w:gridCol w:w="1270"/>
        <w:gridCol w:w="1088"/>
        <w:gridCol w:w="907"/>
        <w:gridCol w:w="1088"/>
        <w:gridCol w:w="1678"/>
        <w:gridCol w:w="1170"/>
        <w:gridCol w:w="900"/>
        <w:gridCol w:w="900"/>
        <w:gridCol w:w="1440"/>
        <w:gridCol w:w="1260"/>
        <w:gridCol w:w="1481"/>
      </w:tblGrid>
      <w:tr w:rsidR="006E6F37" w14:paraId="4D92885F" w14:textId="77777777" w:rsidTr="00E43844">
        <w:trPr>
          <w:jc w:val="center"/>
        </w:trPr>
        <w:tc>
          <w:tcPr>
            <w:tcW w:w="14142" w:type="dxa"/>
            <w:gridSpan w:val="12"/>
          </w:tcPr>
          <w:p w14:paraId="6E97B89E" w14:textId="77777777" w:rsidR="006E6F37" w:rsidRPr="00EF450B" w:rsidRDefault="000442D5" w:rsidP="00803174">
            <w:pPr>
              <w:rPr>
                <w:b/>
                <w:sz w:val="18"/>
                <w:szCs w:val="16"/>
              </w:rPr>
            </w:pPr>
            <w:r>
              <w:rPr>
                <w:b/>
                <w:sz w:val="20"/>
                <w:szCs w:val="16"/>
              </w:rPr>
              <w:t xml:space="preserve">TABLE 2.   </w:t>
            </w:r>
            <w:r w:rsidR="006E6F37" w:rsidRPr="00EF450B">
              <w:rPr>
                <w:b/>
                <w:sz w:val="20"/>
                <w:szCs w:val="16"/>
              </w:rPr>
              <w:t>TRAINING TECHNICAL SECTOR CAPABILITIES (TASK 3)</w:t>
            </w:r>
          </w:p>
        </w:tc>
      </w:tr>
      <w:tr w:rsidR="006E6F37" w14:paraId="1A55D14C" w14:textId="77777777" w:rsidTr="00E43844">
        <w:trPr>
          <w:jc w:val="center"/>
        </w:trPr>
        <w:tc>
          <w:tcPr>
            <w:tcW w:w="960" w:type="dxa"/>
            <w:vMerge w:val="restart"/>
          </w:tcPr>
          <w:p w14:paraId="098691D6" w14:textId="77777777" w:rsidR="006E6F37" w:rsidRPr="00FA71F0" w:rsidRDefault="006E6F37" w:rsidP="005031DD">
            <w:pPr>
              <w:jc w:val="center"/>
              <w:rPr>
                <w:b/>
                <w:sz w:val="18"/>
                <w:szCs w:val="16"/>
              </w:rPr>
            </w:pPr>
          </w:p>
          <w:p w14:paraId="0A9572BF" w14:textId="77777777" w:rsidR="006E6F37" w:rsidRPr="00FA71F0" w:rsidRDefault="006E6F37" w:rsidP="005031DD">
            <w:pPr>
              <w:jc w:val="center"/>
              <w:rPr>
                <w:b/>
                <w:sz w:val="18"/>
                <w:szCs w:val="16"/>
              </w:rPr>
            </w:pPr>
            <w:r>
              <w:rPr>
                <w:b/>
                <w:sz w:val="16"/>
                <w:szCs w:val="16"/>
              </w:rPr>
              <w:t xml:space="preserve"> </w:t>
            </w:r>
          </w:p>
        </w:tc>
        <w:tc>
          <w:tcPr>
            <w:tcW w:w="2358" w:type="dxa"/>
            <w:gridSpan w:val="2"/>
          </w:tcPr>
          <w:p w14:paraId="225FBF1D" w14:textId="77777777" w:rsidR="006E6F37" w:rsidRPr="00AF1EAF" w:rsidRDefault="006E6F37" w:rsidP="005031DD">
            <w:pPr>
              <w:jc w:val="center"/>
              <w:rPr>
                <w:b/>
                <w:sz w:val="18"/>
                <w:szCs w:val="16"/>
              </w:rPr>
            </w:pPr>
            <w:r w:rsidRPr="00AF1EAF">
              <w:rPr>
                <w:b/>
                <w:sz w:val="18"/>
                <w:szCs w:val="16"/>
              </w:rPr>
              <w:t>Laboratory</w:t>
            </w:r>
          </w:p>
        </w:tc>
        <w:tc>
          <w:tcPr>
            <w:tcW w:w="1995" w:type="dxa"/>
            <w:gridSpan w:val="2"/>
          </w:tcPr>
          <w:p w14:paraId="4E337814" w14:textId="77777777" w:rsidR="006E6F37" w:rsidRPr="001053E9" w:rsidRDefault="006E6F37" w:rsidP="005031DD">
            <w:pPr>
              <w:jc w:val="center"/>
              <w:rPr>
                <w:b/>
                <w:color w:val="404040" w:themeColor="text1" w:themeTint="BF"/>
                <w:sz w:val="18"/>
                <w:szCs w:val="16"/>
              </w:rPr>
            </w:pPr>
            <w:r w:rsidRPr="001053E9">
              <w:rPr>
                <w:b/>
                <w:color w:val="404040" w:themeColor="text1" w:themeTint="BF"/>
                <w:sz w:val="18"/>
                <w:szCs w:val="16"/>
              </w:rPr>
              <w:t>Epidemiology</w:t>
            </w:r>
          </w:p>
        </w:tc>
        <w:tc>
          <w:tcPr>
            <w:tcW w:w="2848" w:type="dxa"/>
            <w:gridSpan w:val="2"/>
          </w:tcPr>
          <w:p w14:paraId="2792681D" w14:textId="77777777" w:rsidR="006E6F37" w:rsidRPr="00AF1EAF" w:rsidRDefault="006E6F37" w:rsidP="005031DD">
            <w:pPr>
              <w:jc w:val="center"/>
              <w:rPr>
                <w:b/>
                <w:sz w:val="18"/>
                <w:szCs w:val="16"/>
              </w:rPr>
            </w:pPr>
            <w:r w:rsidRPr="00AF1EAF">
              <w:rPr>
                <w:b/>
                <w:sz w:val="18"/>
                <w:szCs w:val="16"/>
              </w:rPr>
              <w:t>GIS</w:t>
            </w:r>
          </w:p>
        </w:tc>
        <w:tc>
          <w:tcPr>
            <w:tcW w:w="3240" w:type="dxa"/>
            <w:gridSpan w:val="3"/>
          </w:tcPr>
          <w:p w14:paraId="36B0FA00" w14:textId="77777777" w:rsidR="006E6F37" w:rsidRPr="001053E9" w:rsidRDefault="006E6F37" w:rsidP="005031DD">
            <w:pPr>
              <w:jc w:val="center"/>
              <w:rPr>
                <w:b/>
                <w:color w:val="404040" w:themeColor="text1" w:themeTint="BF"/>
                <w:sz w:val="18"/>
                <w:szCs w:val="16"/>
              </w:rPr>
            </w:pPr>
            <w:r w:rsidRPr="001053E9">
              <w:rPr>
                <w:b/>
                <w:color w:val="404040" w:themeColor="text1" w:themeTint="BF"/>
                <w:sz w:val="18"/>
                <w:szCs w:val="16"/>
              </w:rPr>
              <w:t>Outbreak Response</w:t>
            </w:r>
          </w:p>
        </w:tc>
        <w:tc>
          <w:tcPr>
            <w:tcW w:w="1260" w:type="dxa"/>
            <w:vMerge w:val="restart"/>
          </w:tcPr>
          <w:p w14:paraId="3E73A732" w14:textId="77777777" w:rsidR="006E6F37" w:rsidRDefault="006E6F37" w:rsidP="005031DD">
            <w:pPr>
              <w:rPr>
                <w:b/>
                <w:sz w:val="18"/>
                <w:szCs w:val="16"/>
              </w:rPr>
            </w:pPr>
          </w:p>
          <w:p w14:paraId="75E1F0CB" w14:textId="77777777" w:rsidR="006E6F37" w:rsidRPr="00FA71F0" w:rsidRDefault="006E6F37" w:rsidP="005031DD">
            <w:pPr>
              <w:jc w:val="center"/>
              <w:rPr>
                <w:b/>
                <w:sz w:val="18"/>
                <w:szCs w:val="16"/>
              </w:rPr>
            </w:pPr>
            <w:r w:rsidRPr="00FA71F0">
              <w:rPr>
                <w:b/>
                <w:sz w:val="18"/>
                <w:szCs w:val="16"/>
              </w:rPr>
              <w:t>Public Health Preparedness</w:t>
            </w:r>
          </w:p>
        </w:tc>
        <w:tc>
          <w:tcPr>
            <w:tcW w:w="1481" w:type="dxa"/>
            <w:vMerge w:val="restart"/>
          </w:tcPr>
          <w:p w14:paraId="77DF8E75" w14:textId="77777777" w:rsidR="006E6F37" w:rsidRPr="00FA71F0" w:rsidRDefault="006E6F37" w:rsidP="005031DD">
            <w:pPr>
              <w:jc w:val="center"/>
              <w:rPr>
                <w:b/>
                <w:sz w:val="18"/>
                <w:szCs w:val="16"/>
              </w:rPr>
            </w:pPr>
          </w:p>
          <w:p w14:paraId="5669224D" w14:textId="77777777" w:rsidR="006E6F37" w:rsidRPr="00FA71F0" w:rsidRDefault="006E6F37" w:rsidP="005031DD">
            <w:pPr>
              <w:jc w:val="center"/>
              <w:rPr>
                <w:b/>
                <w:sz w:val="18"/>
                <w:szCs w:val="16"/>
              </w:rPr>
            </w:pPr>
            <w:proofErr w:type="spellStart"/>
            <w:r w:rsidRPr="00FA71F0">
              <w:rPr>
                <w:b/>
                <w:sz w:val="18"/>
                <w:szCs w:val="16"/>
              </w:rPr>
              <w:t>Grantsmanship</w:t>
            </w:r>
            <w:proofErr w:type="spellEnd"/>
          </w:p>
        </w:tc>
      </w:tr>
      <w:tr w:rsidR="006E6F37" w14:paraId="40A100EB" w14:textId="77777777" w:rsidTr="00E43844">
        <w:trPr>
          <w:trHeight w:val="512"/>
          <w:jc w:val="center"/>
        </w:trPr>
        <w:tc>
          <w:tcPr>
            <w:tcW w:w="960" w:type="dxa"/>
            <w:vMerge/>
          </w:tcPr>
          <w:p w14:paraId="694B049B" w14:textId="77777777" w:rsidR="006E6F37" w:rsidRPr="00FA71F0" w:rsidRDefault="006E6F37" w:rsidP="005031DD">
            <w:pPr>
              <w:jc w:val="center"/>
              <w:rPr>
                <w:b/>
                <w:sz w:val="18"/>
                <w:szCs w:val="16"/>
              </w:rPr>
            </w:pPr>
          </w:p>
        </w:tc>
        <w:tc>
          <w:tcPr>
            <w:tcW w:w="1270" w:type="dxa"/>
          </w:tcPr>
          <w:p w14:paraId="7DFCB0C1" w14:textId="77777777" w:rsidR="006E6F37" w:rsidRPr="00AF1EAF" w:rsidRDefault="006E6F37" w:rsidP="005031DD">
            <w:pPr>
              <w:jc w:val="center"/>
              <w:rPr>
                <w:b/>
                <w:sz w:val="8"/>
                <w:szCs w:val="16"/>
              </w:rPr>
            </w:pPr>
            <w:r w:rsidRPr="00AF1EAF">
              <w:rPr>
                <w:b/>
                <w:sz w:val="8"/>
                <w:szCs w:val="16"/>
              </w:rPr>
              <w:t xml:space="preserve"> </w:t>
            </w:r>
          </w:p>
          <w:p w14:paraId="6215E561" w14:textId="77777777" w:rsidR="006E6F37" w:rsidRPr="00AF1EAF" w:rsidRDefault="006E6F37" w:rsidP="005031DD">
            <w:pPr>
              <w:jc w:val="center"/>
              <w:rPr>
                <w:b/>
                <w:sz w:val="18"/>
                <w:szCs w:val="16"/>
              </w:rPr>
            </w:pPr>
            <w:r w:rsidRPr="00AF1EAF">
              <w:rPr>
                <w:b/>
                <w:sz w:val="18"/>
                <w:szCs w:val="16"/>
              </w:rPr>
              <w:t>Biosafety &amp; Biosecurity</w:t>
            </w:r>
          </w:p>
        </w:tc>
        <w:tc>
          <w:tcPr>
            <w:tcW w:w="1088" w:type="dxa"/>
          </w:tcPr>
          <w:p w14:paraId="7D0DB172" w14:textId="77777777" w:rsidR="006E6F37" w:rsidRPr="00AF1EAF" w:rsidRDefault="006E6F37" w:rsidP="005031DD">
            <w:pPr>
              <w:jc w:val="center"/>
              <w:rPr>
                <w:b/>
                <w:sz w:val="18"/>
                <w:szCs w:val="16"/>
              </w:rPr>
            </w:pPr>
          </w:p>
          <w:p w14:paraId="115D623F" w14:textId="77777777" w:rsidR="006E6F37" w:rsidRPr="00AF1EAF" w:rsidRDefault="006E6F37" w:rsidP="005031DD">
            <w:pPr>
              <w:jc w:val="center"/>
              <w:rPr>
                <w:b/>
                <w:sz w:val="18"/>
                <w:szCs w:val="16"/>
              </w:rPr>
            </w:pPr>
            <w:r w:rsidRPr="00AF1EAF">
              <w:rPr>
                <w:b/>
                <w:sz w:val="18"/>
                <w:szCs w:val="16"/>
              </w:rPr>
              <w:t>Diagnostics</w:t>
            </w:r>
          </w:p>
        </w:tc>
        <w:tc>
          <w:tcPr>
            <w:tcW w:w="907" w:type="dxa"/>
          </w:tcPr>
          <w:p w14:paraId="468EB9DE" w14:textId="77777777" w:rsidR="006E6F37" w:rsidRPr="001053E9" w:rsidRDefault="006E6F37" w:rsidP="005031DD">
            <w:pPr>
              <w:jc w:val="center"/>
              <w:rPr>
                <w:b/>
                <w:color w:val="404040" w:themeColor="text1" w:themeTint="BF"/>
                <w:sz w:val="18"/>
                <w:szCs w:val="16"/>
              </w:rPr>
            </w:pPr>
          </w:p>
          <w:p w14:paraId="6C7D4F37" w14:textId="77777777" w:rsidR="006E6F37" w:rsidRPr="001053E9" w:rsidRDefault="006E6F37" w:rsidP="005031DD">
            <w:pPr>
              <w:jc w:val="center"/>
              <w:rPr>
                <w:b/>
                <w:color w:val="404040" w:themeColor="text1" w:themeTint="BF"/>
                <w:sz w:val="18"/>
                <w:szCs w:val="16"/>
              </w:rPr>
            </w:pPr>
            <w:r w:rsidRPr="001053E9">
              <w:rPr>
                <w:b/>
                <w:color w:val="404040" w:themeColor="text1" w:themeTint="BF"/>
                <w:sz w:val="18"/>
                <w:szCs w:val="16"/>
              </w:rPr>
              <w:t>Human</w:t>
            </w:r>
          </w:p>
        </w:tc>
        <w:tc>
          <w:tcPr>
            <w:tcW w:w="1088" w:type="dxa"/>
          </w:tcPr>
          <w:p w14:paraId="1E54DB75" w14:textId="77777777" w:rsidR="006E6F37" w:rsidRPr="001053E9" w:rsidRDefault="006E6F37" w:rsidP="005031DD">
            <w:pPr>
              <w:jc w:val="center"/>
              <w:rPr>
                <w:b/>
                <w:color w:val="404040" w:themeColor="text1" w:themeTint="BF"/>
                <w:sz w:val="18"/>
                <w:szCs w:val="16"/>
              </w:rPr>
            </w:pPr>
          </w:p>
          <w:p w14:paraId="3873CF54" w14:textId="77777777" w:rsidR="006E6F37" w:rsidRPr="001053E9" w:rsidRDefault="006E6F37" w:rsidP="005031DD">
            <w:pPr>
              <w:jc w:val="center"/>
              <w:rPr>
                <w:b/>
                <w:color w:val="404040" w:themeColor="text1" w:themeTint="BF"/>
                <w:sz w:val="18"/>
                <w:szCs w:val="16"/>
              </w:rPr>
            </w:pPr>
            <w:r w:rsidRPr="001053E9">
              <w:rPr>
                <w:b/>
                <w:color w:val="404040" w:themeColor="text1" w:themeTint="BF"/>
                <w:sz w:val="18"/>
                <w:szCs w:val="16"/>
              </w:rPr>
              <w:t>Veterinary</w:t>
            </w:r>
          </w:p>
        </w:tc>
        <w:tc>
          <w:tcPr>
            <w:tcW w:w="1678" w:type="dxa"/>
          </w:tcPr>
          <w:p w14:paraId="4DE5895B" w14:textId="77777777" w:rsidR="006E6F37" w:rsidRPr="00AF1EAF" w:rsidRDefault="006E6F37" w:rsidP="005031DD">
            <w:pPr>
              <w:jc w:val="center"/>
              <w:rPr>
                <w:b/>
                <w:sz w:val="8"/>
                <w:szCs w:val="16"/>
              </w:rPr>
            </w:pPr>
          </w:p>
          <w:p w14:paraId="79D3389A" w14:textId="77777777" w:rsidR="006E6F37" w:rsidRPr="00AF1EAF" w:rsidRDefault="006E6F37" w:rsidP="005031DD">
            <w:pPr>
              <w:jc w:val="center"/>
              <w:rPr>
                <w:b/>
                <w:sz w:val="18"/>
                <w:szCs w:val="16"/>
              </w:rPr>
            </w:pPr>
            <w:r w:rsidRPr="00AF1EAF">
              <w:rPr>
                <w:b/>
                <w:sz w:val="18"/>
                <w:szCs w:val="16"/>
              </w:rPr>
              <w:t>Data Analysis</w:t>
            </w:r>
          </w:p>
          <w:p w14:paraId="372F7644" w14:textId="77777777" w:rsidR="006E6F37" w:rsidRPr="00AF1EAF" w:rsidRDefault="006E6F37" w:rsidP="005031DD">
            <w:pPr>
              <w:jc w:val="center"/>
              <w:rPr>
                <w:b/>
                <w:sz w:val="18"/>
                <w:szCs w:val="16"/>
              </w:rPr>
            </w:pPr>
            <w:proofErr w:type="gramStart"/>
            <w:r w:rsidRPr="00AF1EAF">
              <w:rPr>
                <w:b/>
                <w:sz w:val="18"/>
                <w:szCs w:val="16"/>
              </w:rPr>
              <w:t xml:space="preserve">Database </w:t>
            </w:r>
            <w:r>
              <w:rPr>
                <w:b/>
                <w:sz w:val="18"/>
                <w:szCs w:val="16"/>
              </w:rPr>
              <w:t xml:space="preserve"> </w:t>
            </w:r>
            <w:proofErr w:type="spellStart"/>
            <w:r>
              <w:rPr>
                <w:b/>
                <w:sz w:val="18"/>
                <w:szCs w:val="16"/>
              </w:rPr>
              <w:t>Mngmt</w:t>
            </w:r>
            <w:proofErr w:type="spellEnd"/>
            <w:proofErr w:type="gramEnd"/>
          </w:p>
        </w:tc>
        <w:tc>
          <w:tcPr>
            <w:tcW w:w="1170" w:type="dxa"/>
          </w:tcPr>
          <w:p w14:paraId="32D8CE2B" w14:textId="77777777" w:rsidR="006E6F37" w:rsidRPr="00AF1EAF" w:rsidRDefault="006E6F37" w:rsidP="005031DD">
            <w:pPr>
              <w:jc w:val="center"/>
              <w:rPr>
                <w:b/>
                <w:sz w:val="8"/>
                <w:szCs w:val="16"/>
              </w:rPr>
            </w:pPr>
          </w:p>
          <w:p w14:paraId="426A1BB1" w14:textId="77777777" w:rsidR="006E6F37" w:rsidRPr="00AF1EAF" w:rsidRDefault="006E6F37" w:rsidP="005031DD">
            <w:pPr>
              <w:jc w:val="center"/>
              <w:rPr>
                <w:b/>
                <w:sz w:val="18"/>
                <w:szCs w:val="16"/>
              </w:rPr>
            </w:pPr>
            <w:r w:rsidRPr="00AF1EAF">
              <w:rPr>
                <w:b/>
                <w:sz w:val="18"/>
                <w:szCs w:val="16"/>
              </w:rPr>
              <w:t>Field Data</w:t>
            </w:r>
          </w:p>
          <w:p w14:paraId="7BB5277E" w14:textId="77777777" w:rsidR="006E6F37" w:rsidRPr="00AF1EAF" w:rsidRDefault="006E6F37" w:rsidP="005031DD">
            <w:pPr>
              <w:jc w:val="center"/>
              <w:rPr>
                <w:b/>
                <w:sz w:val="18"/>
                <w:szCs w:val="16"/>
              </w:rPr>
            </w:pPr>
            <w:r w:rsidRPr="00AF1EAF">
              <w:rPr>
                <w:b/>
                <w:sz w:val="18"/>
                <w:szCs w:val="16"/>
              </w:rPr>
              <w:t>Collection</w:t>
            </w:r>
          </w:p>
        </w:tc>
        <w:tc>
          <w:tcPr>
            <w:tcW w:w="900" w:type="dxa"/>
          </w:tcPr>
          <w:p w14:paraId="6FB916F0" w14:textId="77777777" w:rsidR="006E6F37" w:rsidRPr="001053E9" w:rsidRDefault="006E6F37" w:rsidP="005031DD">
            <w:pPr>
              <w:rPr>
                <w:b/>
                <w:color w:val="404040" w:themeColor="text1" w:themeTint="BF"/>
                <w:sz w:val="18"/>
                <w:szCs w:val="16"/>
              </w:rPr>
            </w:pPr>
            <w:r w:rsidRPr="001053E9">
              <w:rPr>
                <w:b/>
                <w:color w:val="404040" w:themeColor="text1" w:themeTint="BF"/>
                <w:sz w:val="18"/>
                <w:szCs w:val="16"/>
              </w:rPr>
              <w:t xml:space="preserve"> </w:t>
            </w:r>
          </w:p>
          <w:p w14:paraId="2AB1F34B" w14:textId="77777777" w:rsidR="006E6F37" w:rsidRPr="001053E9" w:rsidRDefault="006E6F37" w:rsidP="005031DD">
            <w:pPr>
              <w:rPr>
                <w:b/>
                <w:color w:val="404040" w:themeColor="text1" w:themeTint="BF"/>
                <w:sz w:val="18"/>
                <w:szCs w:val="16"/>
              </w:rPr>
            </w:pPr>
            <w:r w:rsidRPr="001053E9">
              <w:rPr>
                <w:b/>
                <w:color w:val="404040" w:themeColor="text1" w:themeTint="BF"/>
                <w:sz w:val="18"/>
                <w:szCs w:val="16"/>
              </w:rPr>
              <w:t>Training</w:t>
            </w:r>
          </w:p>
        </w:tc>
        <w:tc>
          <w:tcPr>
            <w:tcW w:w="900" w:type="dxa"/>
          </w:tcPr>
          <w:p w14:paraId="07CF52B3" w14:textId="77777777" w:rsidR="006E6F37" w:rsidRPr="001053E9" w:rsidRDefault="006E6F37" w:rsidP="005031DD">
            <w:pPr>
              <w:jc w:val="center"/>
              <w:rPr>
                <w:b/>
                <w:color w:val="404040" w:themeColor="text1" w:themeTint="BF"/>
                <w:sz w:val="18"/>
                <w:szCs w:val="16"/>
              </w:rPr>
            </w:pPr>
          </w:p>
          <w:p w14:paraId="37A45753" w14:textId="77777777" w:rsidR="006E6F37" w:rsidRPr="001053E9" w:rsidRDefault="006E6F37" w:rsidP="005031DD">
            <w:pPr>
              <w:jc w:val="center"/>
              <w:rPr>
                <w:b/>
                <w:color w:val="404040" w:themeColor="text1" w:themeTint="BF"/>
                <w:sz w:val="18"/>
                <w:szCs w:val="16"/>
              </w:rPr>
            </w:pPr>
            <w:r w:rsidRPr="001053E9">
              <w:rPr>
                <w:b/>
                <w:color w:val="404040" w:themeColor="text1" w:themeTint="BF"/>
                <w:sz w:val="18"/>
                <w:szCs w:val="16"/>
              </w:rPr>
              <w:t>Logistics</w:t>
            </w:r>
          </w:p>
        </w:tc>
        <w:tc>
          <w:tcPr>
            <w:tcW w:w="1440" w:type="dxa"/>
          </w:tcPr>
          <w:p w14:paraId="36B6CAC4" w14:textId="77777777" w:rsidR="006E6F37" w:rsidRPr="001053E9" w:rsidRDefault="006E6F37" w:rsidP="005031DD">
            <w:pPr>
              <w:jc w:val="center"/>
              <w:rPr>
                <w:b/>
                <w:color w:val="404040" w:themeColor="text1" w:themeTint="BF"/>
                <w:sz w:val="10"/>
                <w:szCs w:val="16"/>
              </w:rPr>
            </w:pPr>
          </w:p>
          <w:p w14:paraId="1D8DA336" w14:textId="77777777" w:rsidR="006E6F37" w:rsidRPr="001053E9" w:rsidRDefault="006E6F37" w:rsidP="005031DD">
            <w:pPr>
              <w:jc w:val="center"/>
              <w:rPr>
                <w:b/>
                <w:color w:val="404040" w:themeColor="text1" w:themeTint="BF"/>
                <w:sz w:val="18"/>
                <w:szCs w:val="16"/>
              </w:rPr>
            </w:pPr>
            <w:r w:rsidRPr="001053E9">
              <w:rPr>
                <w:b/>
                <w:color w:val="404040" w:themeColor="text1" w:themeTint="BF"/>
                <w:sz w:val="18"/>
                <w:szCs w:val="16"/>
              </w:rPr>
              <w:t>Field Sampling, Field Diagnosis</w:t>
            </w:r>
          </w:p>
        </w:tc>
        <w:tc>
          <w:tcPr>
            <w:tcW w:w="1260" w:type="dxa"/>
            <w:vMerge/>
          </w:tcPr>
          <w:p w14:paraId="5DBB1892" w14:textId="77777777" w:rsidR="006E6F37" w:rsidRPr="00FA71F0" w:rsidRDefault="006E6F37" w:rsidP="005031DD">
            <w:pPr>
              <w:jc w:val="center"/>
              <w:rPr>
                <w:b/>
                <w:sz w:val="18"/>
                <w:szCs w:val="16"/>
              </w:rPr>
            </w:pPr>
          </w:p>
        </w:tc>
        <w:tc>
          <w:tcPr>
            <w:tcW w:w="1481" w:type="dxa"/>
            <w:vMerge/>
          </w:tcPr>
          <w:p w14:paraId="6DAA7D97" w14:textId="77777777" w:rsidR="006E6F37" w:rsidRPr="00FA71F0" w:rsidRDefault="006E6F37" w:rsidP="005031DD">
            <w:pPr>
              <w:jc w:val="center"/>
              <w:rPr>
                <w:b/>
                <w:sz w:val="18"/>
                <w:szCs w:val="16"/>
              </w:rPr>
            </w:pPr>
          </w:p>
        </w:tc>
      </w:tr>
      <w:tr w:rsidR="006E6F37" w14:paraId="424ABF16" w14:textId="77777777" w:rsidTr="00E43844">
        <w:trPr>
          <w:jc w:val="center"/>
        </w:trPr>
        <w:tc>
          <w:tcPr>
            <w:tcW w:w="960" w:type="dxa"/>
          </w:tcPr>
          <w:p w14:paraId="7BAD02F8" w14:textId="77777777" w:rsidR="006E6F37" w:rsidRPr="00FA71F0" w:rsidRDefault="0049523A" w:rsidP="005031DD">
            <w:pPr>
              <w:jc w:val="center"/>
              <w:rPr>
                <w:b/>
                <w:sz w:val="18"/>
                <w:szCs w:val="16"/>
              </w:rPr>
            </w:pPr>
            <w:r w:rsidRPr="0049523A">
              <w:rPr>
                <w:b/>
                <w:sz w:val="18"/>
                <w:szCs w:val="16"/>
                <w:highlight w:val="magenta"/>
              </w:rPr>
              <w:t>EHA</w:t>
            </w:r>
          </w:p>
        </w:tc>
        <w:tc>
          <w:tcPr>
            <w:tcW w:w="1270" w:type="dxa"/>
          </w:tcPr>
          <w:p w14:paraId="3757EEDD" w14:textId="77777777" w:rsidR="006E6F37" w:rsidRPr="006E6F37" w:rsidRDefault="00803174" w:rsidP="005031DD">
            <w:pPr>
              <w:jc w:val="center"/>
              <w:rPr>
                <w:b/>
                <w:sz w:val="18"/>
                <w:szCs w:val="16"/>
              </w:rPr>
            </w:pPr>
            <w:r>
              <w:rPr>
                <w:b/>
                <w:sz w:val="18"/>
                <w:szCs w:val="16"/>
              </w:rPr>
              <w:t xml:space="preserve"> </w:t>
            </w:r>
          </w:p>
        </w:tc>
        <w:tc>
          <w:tcPr>
            <w:tcW w:w="1088" w:type="dxa"/>
          </w:tcPr>
          <w:p w14:paraId="4373570C" w14:textId="77777777" w:rsidR="006E6F37" w:rsidRPr="006E6F37" w:rsidRDefault="00F23DDF" w:rsidP="005031DD">
            <w:pPr>
              <w:jc w:val="center"/>
              <w:rPr>
                <w:b/>
                <w:sz w:val="18"/>
                <w:szCs w:val="16"/>
              </w:rPr>
            </w:pPr>
            <w:r>
              <w:rPr>
                <w:b/>
                <w:sz w:val="18"/>
                <w:szCs w:val="16"/>
              </w:rPr>
              <w:t>X</w:t>
            </w:r>
          </w:p>
        </w:tc>
        <w:tc>
          <w:tcPr>
            <w:tcW w:w="907" w:type="dxa"/>
          </w:tcPr>
          <w:p w14:paraId="3ADF3B21" w14:textId="77777777" w:rsidR="006E6F37" w:rsidRPr="006E6F37" w:rsidRDefault="00F23DDF" w:rsidP="005031DD">
            <w:pPr>
              <w:jc w:val="center"/>
              <w:rPr>
                <w:b/>
                <w:sz w:val="18"/>
                <w:szCs w:val="16"/>
              </w:rPr>
            </w:pPr>
            <w:r>
              <w:rPr>
                <w:b/>
                <w:sz w:val="18"/>
                <w:szCs w:val="16"/>
              </w:rPr>
              <w:t>X</w:t>
            </w:r>
          </w:p>
        </w:tc>
        <w:tc>
          <w:tcPr>
            <w:tcW w:w="1088" w:type="dxa"/>
          </w:tcPr>
          <w:p w14:paraId="20EC3DAD" w14:textId="77777777" w:rsidR="006E6F37" w:rsidRPr="006E6F37" w:rsidRDefault="00F23DDF" w:rsidP="005031DD">
            <w:pPr>
              <w:jc w:val="center"/>
              <w:rPr>
                <w:b/>
                <w:sz w:val="18"/>
                <w:szCs w:val="16"/>
              </w:rPr>
            </w:pPr>
            <w:r>
              <w:rPr>
                <w:b/>
                <w:sz w:val="18"/>
                <w:szCs w:val="16"/>
              </w:rPr>
              <w:t>X</w:t>
            </w:r>
          </w:p>
        </w:tc>
        <w:tc>
          <w:tcPr>
            <w:tcW w:w="1678" w:type="dxa"/>
          </w:tcPr>
          <w:p w14:paraId="2206E3C6" w14:textId="77777777" w:rsidR="006E6F37" w:rsidRPr="006E6F37" w:rsidRDefault="00F23DDF" w:rsidP="005031DD">
            <w:pPr>
              <w:jc w:val="center"/>
              <w:rPr>
                <w:b/>
                <w:sz w:val="18"/>
                <w:szCs w:val="16"/>
              </w:rPr>
            </w:pPr>
            <w:r>
              <w:rPr>
                <w:b/>
                <w:sz w:val="18"/>
                <w:szCs w:val="16"/>
              </w:rPr>
              <w:t>X</w:t>
            </w:r>
          </w:p>
        </w:tc>
        <w:tc>
          <w:tcPr>
            <w:tcW w:w="1170" w:type="dxa"/>
          </w:tcPr>
          <w:p w14:paraId="7D5CF92B" w14:textId="77777777" w:rsidR="006E6F37" w:rsidRPr="006E6F37" w:rsidRDefault="00F23DDF" w:rsidP="005031DD">
            <w:pPr>
              <w:jc w:val="center"/>
              <w:rPr>
                <w:b/>
                <w:sz w:val="18"/>
                <w:szCs w:val="16"/>
              </w:rPr>
            </w:pPr>
            <w:r>
              <w:rPr>
                <w:b/>
                <w:sz w:val="18"/>
                <w:szCs w:val="16"/>
              </w:rPr>
              <w:t>X</w:t>
            </w:r>
          </w:p>
        </w:tc>
        <w:tc>
          <w:tcPr>
            <w:tcW w:w="900" w:type="dxa"/>
          </w:tcPr>
          <w:p w14:paraId="72CFE971" w14:textId="77777777" w:rsidR="006E6F37" w:rsidRPr="006E6F37" w:rsidRDefault="00F23DDF" w:rsidP="005031DD">
            <w:pPr>
              <w:jc w:val="center"/>
              <w:rPr>
                <w:b/>
                <w:sz w:val="18"/>
                <w:szCs w:val="16"/>
              </w:rPr>
            </w:pPr>
            <w:r>
              <w:rPr>
                <w:b/>
                <w:sz w:val="18"/>
                <w:szCs w:val="16"/>
              </w:rPr>
              <w:t>X</w:t>
            </w:r>
          </w:p>
        </w:tc>
        <w:tc>
          <w:tcPr>
            <w:tcW w:w="900" w:type="dxa"/>
          </w:tcPr>
          <w:p w14:paraId="2D3B99F3" w14:textId="77777777" w:rsidR="006E6F37" w:rsidRPr="006E6F37" w:rsidRDefault="006E6F37" w:rsidP="005031DD">
            <w:pPr>
              <w:jc w:val="center"/>
              <w:rPr>
                <w:b/>
                <w:sz w:val="18"/>
                <w:szCs w:val="16"/>
              </w:rPr>
            </w:pPr>
          </w:p>
        </w:tc>
        <w:tc>
          <w:tcPr>
            <w:tcW w:w="1440" w:type="dxa"/>
          </w:tcPr>
          <w:p w14:paraId="628DC988" w14:textId="77777777" w:rsidR="006E6F37" w:rsidRPr="006E6F37" w:rsidRDefault="00F23DDF" w:rsidP="005031DD">
            <w:pPr>
              <w:jc w:val="center"/>
              <w:rPr>
                <w:b/>
                <w:sz w:val="18"/>
                <w:szCs w:val="16"/>
              </w:rPr>
            </w:pPr>
            <w:r>
              <w:rPr>
                <w:b/>
                <w:sz w:val="18"/>
                <w:szCs w:val="16"/>
              </w:rPr>
              <w:t>X</w:t>
            </w:r>
          </w:p>
        </w:tc>
        <w:tc>
          <w:tcPr>
            <w:tcW w:w="1260" w:type="dxa"/>
          </w:tcPr>
          <w:p w14:paraId="74794078" w14:textId="77777777" w:rsidR="006E6F37" w:rsidRPr="006E6F37" w:rsidRDefault="00F23DDF" w:rsidP="005031DD">
            <w:pPr>
              <w:jc w:val="center"/>
              <w:rPr>
                <w:b/>
                <w:sz w:val="18"/>
                <w:szCs w:val="16"/>
              </w:rPr>
            </w:pPr>
            <w:r>
              <w:rPr>
                <w:b/>
                <w:sz w:val="18"/>
                <w:szCs w:val="16"/>
              </w:rPr>
              <w:t>X</w:t>
            </w:r>
          </w:p>
        </w:tc>
        <w:tc>
          <w:tcPr>
            <w:tcW w:w="1481" w:type="dxa"/>
          </w:tcPr>
          <w:p w14:paraId="6AAB222B" w14:textId="77777777" w:rsidR="006E6F37" w:rsidRPr="006E6F37" w:rsidRDefault="00F23DDF" w:rsidP="005031DD">
            <w:pPr>
              <w:jc w:val="center"/>
              <w:rPr>
                <w:b/>
                <w:sz w:val="18"/>
                <w:szCs w:val="16"/>
              </w:rPr>
            </w:pPr>
            <w:r>
              <w:rPr>
                <w:b/>
                <w:sz w:val="18"/>
                <w:szCs w:val="16"/>
              </w:rPr>
              <w:t>X</w:t>
            </w:r>
          </w:p>
        </w:tc>
      </w:tr>
    </w:tbl>
    <w:tbl>
      <w:tblPr>
        <w:tblStyle w:val="TableGrid"/>
        <w:tblpPr w:leftFromText="180" w:rightFromText="180" w:vertAnchor="text" w:horzAnchor="margin" w:tblpXSpec="center" w:tblpY="460"/>
        <w:tblW w:w="14112" w:type="dxa"/>
        <w:tblLayout w:type="fixed"/>
        <w:tblLook w:val="04A0" w:firstRow="1" w:lastRow="0" w:firstColumn="1" w:lastColumn="0" w:noHBand="0" w:noVBand="1"/>
      </w:tblPr>
      <w:tblGrid>
        <w:gridCol w:w="954"/>
        <w:gridCol w:w="900"/>
        <w:gridCol w:w="630"/>
        <w:gridCol w:w="630"/>
        <w:gridCol w:w="720"/>
        <w:gridCol w:w="630"/>
        <w:gridCol w:w="810"/>
        <w:gridCol w:w="810"/>
        <w:gridCol w:w="1350"/>
        <w:gridCol w:w="810"/>
        <w:gridCol w:w="540"/>
        <w:gridCol w:w="900"/>
        <w:gridCol w:w="1170"/>
        <w:gridCol w:w="1440"/>
        <w:gridCol w:w="1818"/>
      </w:tblGrid>
      <w:tr w:rsidR="006E6F37" w:rsidRPr="007E6CAC" w14:paraId="11B40B22" w14:textId="77777777" w:rsidTr="00E43844">
        <w:tc>
          <w:tcPr>
            <w:tcW w:w="14112" w:type="dxa"/>
            <w:gridSpan w:val="15"/>
          </w:tcPr>
          <w:p w14:paraId="4891854F" w14:textId="77777777" w:rsidR="006E6F37" w:rsidRPr="00EF450B" w:rsidRDefault="000442D5" w:rsidP="00803174">
            <w:pPr>
              <w:rPr>
                <w:b/>
                <w:sz w:val="20"/>
                <w:szCs w:val="20"/>
              </w:rPr>
            </w:pPr>
            <w:r>
              <w:rPr>
                <w:b/>
                <w:sz w:val="20"/>
                <w:szCs w:val="20"/>
              </w:rPr>
              <w:t xml:space="preserve">TABLE 3.  </w:t>
            </w:r>
            <w:r w:rsidR="006E6F37" w:rsidRPr="00EF450B">
              <w:rPr>
                <w:b/>
                <w:sz w:val="20"/>
                <w:szCs w:val="20"/>
              </w:rPr>
              <w:t>SCIENTIFIC DISCIPLINE CAPABILITIES  (Tasks 2, 4, 5, 7</w:t>
            </w:r>
            <w:r w:rsidR="006E6F37" w:rsidRPr="006E6F37">
              <w:rPr>
                <w:b/>
                <w:sz w:val="20"/>
                <w:szCs w:val="20"/>
              </w:rPr>
              <w:t>)</w:t>
            </w:r>
          </w:p>
        </w:tc>
      </w:tr>
      <w:tr w:rsidR="006E6F37" w:rsidRPr="001053E9" w14:paraId="73A40D5D" w14:textId="77777777" w:rsidTr="00E43844">
        <w:tc>
          <w:tcPr>
            <w:tcW w:w="954" w:type="dxa"/>
            <w:vMerge w:val="restart"/>
          </w:tcPr>
          <w:p w14:paraId="431BCC40" w14:textId="77777777" w:rsidR="006E6F37" w:rsidRPr="006E6F37" w:rsidRDefault="006E6F37" w:rsidP="005031DD">
            <w:pPr>
              <w:jc w:val="center"/>
              <w:rPr>
                <w:b/>
                <w:sz w:val="14"/>
                <w:szCs w:val="16"/>
              </w:rPr>
            </w:pPr>
          </w:p>
          <w:p w14:paraId="1C77963C" w14:textId="77777777" w:rsidR="006E6F37" w:rsidRPr="006E6F37" w:rsidRDefault="006E6F37" w:rsidP="005031DD">
            <w:pPr>
              <w:jc w:val="center"/>
              <w:rPr>
                <w:b/>
                <w:sz w:val="14"/>
                <w:szCs w:val="16"/>
                <w:highlight w:val="magenta"/>
              </w:rPr>
            </w:pPr>
            <w:r>
              <w:rPr>
                <w:b/>
                <w:sz w:val="14"/>
                <w:szCs w:val="16"/>
              </w:rPr>
              <w:t xml:space="preserve"> </w:t>
            </w:r>
          </w:p>
        </w:tc>
        <w:tc>
          <w:tcPr>
            <w:tcW w:w="1530" w:type="dxa"/>
            <w:gridSpan w:val="2"/>
          </w:tcPr>
          <w:p w14:paraId="32CB2D40" w14:textId="77777777" w:rsidR="006E6F37" w:rsidRPr="001053E9" w:rsidRDefault="006E6F37" w:rsidP="005031DD">
            <w:pPr>
              <w:jc w:val="center"/>
              <w:rPr>
                <w:b/>
                <w:sz w:val="8"/>
                <w:szCs w:val="23"/>
              </w:rPr>
            </w:pPr>
          </w:p>
          <w:p w14:paraId="3793C598" w14:textId="77777777" w:rsidR="006E6F37" w:rsidRPr="001053E9" w:rsidRDefault="006E6F37" w:rsidP="005031DD">
            <w:pPr>
              <w:jc w:val="center"/>
              <w:rPr>
                <w:b/>
                <w:sz w:val="18"/>
                <w:szCs w:val="23"/>
              </w:rPr>
            </w:pPr>
            <w:r w:rsidRPr="001053E9">
              <w:rPr>
                <w:b/>
                <w:sz w:val="18"/>
                <w:szCs w:val="23"/>
              </w:rPr>
              <w:t>Diagnostics</w:t>
            </w:r>
          </w:p>
        </w:tc>
        <w:tc>
          <w:tcPr>
            <w:tcW w:w="1350" w:type="dxa"/>
            <w:gridSpan w:val="2"/>
          </w:tcPr>
          <w:p w14:paraId="3B102DCA" w14:textId="77777777" w:rsidR="006E6F37" w:rsidRPr="001053E9" w:rsidRDefault="006E6F37" w:rsidP="005031DD">
            <w:pPr>
              <w:jc w:val="center"/>
              <w:rPr>
                <w:b/>
                <w:sz w:val="18"/>
                <w:szCs w:val="23"/>
              </w:rPr>
            </w:pPr>
            <w:r w:rsidRPr="001053E9">
              <w:rPr>
                <w:b/>
                <w:sz w:val="18"/>
                <w:szCs w:val="23"/>
              </w:rPr>
              <w:t>Veterinary Medicine</w:t>
            </w:r>
          </w:p>
        </w:tc>
        <w:tc>
          <w:tcPr>
            <w:tcW w:w="1440" w:type="dxa"/>
            <w:gridSpan w:val="2"/>
          </w:tcPr>
          <w:p w14:paraId="76B9627D" w14:textId="77777777" w:rsidR="006E6F37" w:rsidRPr="001053E9" w:rsidRDefault="006E6F37" w:rsidP="005031DD">
            <w:pPr>
              <w:jc w:val="center"/>
              <w:rPr>
                <w:b/>
                <w:sz w:val="18"/>
                <w:szCs w:val="23"/>
              </w:rPr>
            </w:pPr>
            <w:r w:rsidRPr="001053E9">
              <w:rPr>
                <w:b/>
                <w:sz w:val="18"/>
                <w:szCs w:val="23"/>
              </w:rPr>
              <w:t>Human Medicine</w:t>
            </w:r>
          </w:p>
        </w:tc>
        <w:tc>
          <w:tcPr>
            <w:tcW w:w="810" w:type="dxa"/>
            <w:vMerge w:val="restart"/>
          </w:tcPr>
          <w:p w14:paraId="410459E2" w14:textId="77777777" w:rsidR="006E6F37" w:rsidRPr="001053E9" w:rsidRDefault="006E6F37" w:rsidP="005031DD">
            <w:pPr>
              <w:rPr>
                <w:b/>
                <w:sz w:val="6"/>
                <w:szCs w:val="23"/>
              </w:rPr>
            </w:pPr>
          </w:p>
          <w:p w14:paraId="5EF91255" w14:textId="77777777" w:rsidR="006E6F37" w:rsidRPr="001053E9" w:rsidRDefault="006E6F37" w:rsidP="005031DD">
            <w:pPr>
              <w:jc w:val="center"/>
              <w:rPr>
                <w:b/>
                <w:sz w:val="18"/>
                <w:szCs w:val="23"/>
              </w:rPr>
            </w:pPr>
            <w:r w:rsidRPr="001053E9">
              <w:rPr>
                <w:b/>
                <w:sz w:val="18"/>
                <w:szCs w:val="23"/>
              </w:rPr>
              <w:t xml:space="preserve">One </w:t>
            </w:r>
          </w:p>
          <w:p w14:paraId="144141EA" w14:textId="77777777" w:rsidR="006E6F37" w:rsidRPr="001053E9" w:rsidRDefault="006E6F37" w:rsidP="005031DD">
            <w:pPr>
              <w:jc w:val="center"/>
              <w:rPr>
                <w:b/>
                <w:sz w:val="18"/>
                <w:szCs w:val="23"/>
              </w:rPr>
            </w:pPr>
            <w:r w:rsidRPr="001053E9">
              <w:rPr>
                <w:b/>
                <w:sz w:val="18"/>
                <w:szCs w:val="23"/>
              </w:rPr>
              <w:t>Health</w:t>
            </w:r>
          </w:p>
        </w:tc>
        <w:tc>
          <w:tcPr>
            <w:tcW w:w="1350" w:type="dxa"/>
            <w:vMerge w:val="restart"/>
          </w:tcPr>
          <w:p w14:paraId="268A6B3A" w14:textId="77777777" w:rsidR="006E6F37" w:rsidRPr="001053E9" w:rsidRDefault="006E6F37" w:rsidP="005031DD">
            <w:pPr>
              <w:jc w:val="center"/>
              <w:rPr>
                <w:b/>
                <w:sz w:val="10"/>
                <w:szCs w:val="23"/>
              </w:rPr>
            </w:pPr>
          </w:p>
          <w:p w14:paraId="274052E8" w14:textId="77777777" w:rsidR="006E6F37" w:rsidRPr="001053E9" w:rsidRDefault="006E6F37" w:rsidP="005031DD">
            <w:pPr>
              <w:jc w:val="center"/>
              <w:rPr>
                <w:b/>
                <w:sz w:val="18"/>
                <w:szCs w:val="23"/>
              </w:rPr>
            </w:pPr>
            <w:r w:rsidRPr="001053E9">
              <w:rPr>
                <w:b/>
                <w:sz w:val="18"/>
                <w:szCs w:val="23"/>
              </w:rPr>
              <w:t>Epidemiology</w:t>
            </w:r>
          </w:p>
        </w:tc>
        <w:tc>
          <w:tcPr>
            <w:tcW w:w="810" w:type="dxa"/>
            <w:vMerge w:val="restart"/>
          </w:tcPr>
          <w:p w14:paraId="69B96904" w14:textId="77777777" w:rsidR="006E6F37" w:rsidRPr="001053E9" w:rsidRDefault="006E6F37" w:rsidP="005031DD">
            <w:pPr>
              <w:jc w:val="center"/>
              <w:rPr>
                <w:b/>
                <w:sz w:val="10"/>
                <w:szCs w:val="23"/>
              </w:rPr>
            </w:pPr>
          </w:p>
          <w:p w14:paraId="08FEBD63" w14:textId="77777777" w:rsidR="006E6F37" w:rsidRPr="001053E9" w:rsidRDefault="006E6F37" w:rsidP="005031DD">
            <w:pPr>
              <w:jc w:val="center"/>
              <w:rPr>
                <w:b/>
                <w:sz w:val="18"/>
                <w:szCs w:val="23"/>
              </w:rPr>
            </w:pPr>
            <w:r w:rsidRPr="001053E9">
              <w:rPr>
                <w:b/>
                <w:sz w:val="18"/>
                <w:szCs w:val="23"/>
              </w:rPr>
              <w:t>Public Health</w:t>
            </w:r>
          </w:p>
        </w:tc>
        <w:tc>
          <w:tcPr>
            <w:tcW w:w="1440" w:type="dxa"/>
            <w:gridSpan w:val="2"/>
          </w:tcPr>
          <w:p w14:paraId="2FB426E7" w14:textId="77777777" w:rsidR="006E6F37" w:rsidRPr="001053E9" w:rsidRDefault="006E6F37" w:rsidP="005031DD">
            <w:pPr>
              <w:jc w:val="center"/>
              <w:rPr>
                <w:b/>
                <w:sz w:val="10"/>
                <w:szCs w:val="23"/>
              </w:rPr>
            </w:pPr>
          </w:p>
          <w:p w14:paraId="2D453EA4" w14:textId="77777777" w:rsidR="006E6F37" w:rsidRPr="001053E9" w:rsidRDefault="006E6F37" w:rsidP="005031DD">
            <w:pPr>
              <w:jc w:val="center"/>
              <w:rPr>
                <w:b/>
                <w:sz w:val="18"/>
                <w:szCs w:val="23"/>
              </w:rPr>
            </w:pPr>
            <w:r w:rsidRPr="001053E9">
              <w:rPr>
                <w:b/>
                <w:sz w:val="18"/>
                <w:szCs w:val="23"/>
              </w:rPr>
              <w:t>Microbiology</w:t>
            </w:r>
          </w:p>
        </w:tc>
        <w:tc>
          <w:tcPr>
            <w:tcW w:w="2610" w:type="dxa"/>
            <w:gridSpan w:val="2"/>
          </w:tcPr>
          <w:p w14:paraId="5480E16F" w14:textId="77777777" w:rsidR="006E6F37" w:rsidRPr="001053E9" w:rsidRDefault="006E6F37" w:rsidP="005031DD">
            <w:pPr>
              <w:jc w:val="center"/>
              <w:rPr>
                <w:b/>
                <w:sz w:val="10"/>
                <w:szCs w:val="23"/>
              </w:rPr>
            </w:pPr>
          </w:p>
          <w:p w14:paraId="6F554094" w14:textId="77777777" w:rsidR="006E6F37" w:rsidRPr="001053E9" w:rsidRDefault="006E6F37" w:rsidP="005031DD">
            <w:pPr>
              <w:jc w:val="center"/>
              <w:rPr>
                <w:b/>
                <w:sz w:val="18"/>
              </w:rPr>
            </w:pPr>
            <w:r w:rsidRPr="001053E9">
              <w:rPr>
                <w:b/>
                <w:sz w:val="18"/>
                <w:szCs w:val="23"/>
              </w:rPr>
              <w:t>Molecular Biology</w:t>
            </w:r>
          </w:p>
        </w:tc>
        <w:tc>
          <w:tcPr>
            <w:tcW w:w="1818" w:type="dxa"/>
            <w:vMerge w:val="restart"/>
          </w:tcPr>
          <w:p w14:paraId="349B6521" w14:textId="77777777" w:rsidR="006E6F37" w:rsidRPr="001053E9" w:rsidRDefault="006E6F37" w:rsidP="005031DD">
            <w:pPr>
              <w:jc w:val="center"/>
              <w:rPr>
                <w:b/>
                <w:sz w:val="18"/>
                <w:szCs w:val="23"/>
              </w:rPr>
            </w:pPr>
          </w:p>
          <w:p w14:paraId="4883641A" w14:textId="77777777" w:rsidR="006E6F37" w:rsidRPr="001053E9" w:rsidRDefault="006E6F37" w:rsidP="005031DD">
            <w:pPr>
              <w:jc w:val="center"/>
              <w:rPr>
                <w:b/>
                <w:sz w:val="18"/>
                <w:szCs w:val="23"/>
              </w:rPr>
            </w:pPr>
            <w:r w:rsidRPr="001053E9">
              <w:rPr>
                <w:b/>
                <w:sz w:val="18"/>
                <w:szCs w:val="23"/>
              </w:rPr>
              <w:t>Biosurveillance</w:t>
            </w:r>
          </w:p>
        </w:tc>
      </w:tr>
      <w:tr w:rsidR="006E6F37" w:rsidRPr="001053E9" w14:paraId="4122241B" w14:textId="77777777" w:rsidTr="00E43844">
        <w:tc>
          <w:tcPr>
            <w:tcW w:w="954" w:type="dxa"/>
            <w:vMerge/>
          </w:tcPr>
          <w:p w14:paraId="77A19368" w14:textId="77777777" w:rsidR="006E6F37" w:rsidRPr="006E6F37" w:rsidRDefault="006E6F37" w:rsidP="005031DD">
            <w:pPr>
              <w:jc w:val="center"/>
              <w:rPr>
                <w:b/>
                <w:sz w:val="14"/>
                <w:szCs w:val="16"/>
                <w:highlight w:val="magenta"/>
              </w:rPr>
            </w:pPr>
          </w:p>
        </w:tc>
        <w:tc>
          <w:tcPr>
            <w:tcW w:w="900" w:type="dxa"/>
          </w:tcPr>
          <w:p w14:paraId="0CA0E8E8" w14:textId="77777777" w:rsidR="006E6F37" w:rsidRPr="001053E9" w:rsidRDefault="006E6F37" w:rsidP="005031DD">
            <w:pPr>
              <w:jc w:val="center"/>
              <w:rPr>
                <w:b/>
                <w:sz w:val="18"/>
                <w:szCs w:val="23"/>
              </w:rPr>
            </w:pPr>
            <w:r w:rsidRPr="001053E9">
              <w:rPr>
                <w:b/>
                <w:sz w:val="18"/>
                <w:szCs w:val="23"/>
              </w:rPr>
              <w:t>Analysis</w:t>
            </w:r>
          </w:p>
        </w:tc>
        <w:tc>
          <w:tcPr>
            <w:tcW w:w="630" w:type="dxa"/>
          </w:tcPr>
          <w:p w14:paraId="1413C3F5" w14:textId="77777777" w:rsidR="006E6F37" w:rsidRPr="001053E9" w:rsidRDefault="006E6F37" w:rsidP="005031DD">
            <w:pPr>
              <w:jc w:val="center"/>
              <w:rPr>
                <w:b/>
                <w:sz w:val="18"/>
                <w:szCs w:val="23"/>
              </w:rPr>
            </w:pPr>
            <w:r w:rsidRPr="001053E9">
              <w:rPr>
                <w:b/>
                <w:sz w:val="18"/>
                <w:szCs w:val="23"/>
              </w:rPr>
              <w:t>R&amp;D</w:t>
            </w:r>
          </w:p>
        </w:tc>
        <w:tc>
          <w:tcPr>
            <w:tcW w:w="630" w:type="dxa"/>
          </w:tcPr>
          <w:p w14:paraId="55513FE8" w14:textId="77777777" w:rsidR="006E6F37" w:rsidRPr="001053E9" w:rsidRDefault="006E6F37" w:rsidP="005031DD">
            <w:pPr>
              <w:jc w:val="center"/>
              <w:rPr>
                <w:b/>
                <w:sz w:val="18"/>
                <w:szCs w:val="23"/>
              </w:rPr>
            </w:pPr>
            <w:r w:rsidRPr="001053E9">
              <w:rPr>
                <w:b/>
                <w:sz w:val="18"/>
                <w:szCs w:val="23"/>
              </w:rPr>
              <w:t>Lab</w:t>
            </w:r>
          </w:p>
        </w:tc>
        <w:tc>
          <w:tcPr>
            <w:tcW w:w="720" w:type="dxa"/>
          </w:tcPr>
          <w:p w14:paraId="290D8013" w14:textId="77777777" w:rsidR="006E6F37" w:rsidRPr="001053E9" w:rsidRDefault="006E6F37" w:rsidP="005031DD">
            <w:pPr>
              <w:jc w:val="center"/>
              <w:rPr>
                <w:b/>
                <w:sz w:val="18"/>
                <w:szCs w:val="23"/>
              </w:rPr>
            </w:pPr>
            <w:r w:rsidRPr="001053E9">
              <w:rPr>
                <w:b/>
                <w:sz w:val="18"/>
                <w:szCs w:val="23"/>
              </w:rPr>
              <w:t>Field</w:t>
            </w:r>
          </w:p>
        </w:tc>
        <w:tc>
          <w:tcPr>
            <w:tcW w:w="630" w:type="dxa"/>
          </w:tcPr>
          <w:p w14:paraId="05F715BF" w14:textId="77777777" w:rsidR="006E6F37" w:rsidRPr="001053E9" w:rsidRDefault="006E6F37" w:rsidP="005031DD">
            <w:pPr>
              <w:jc w:val="center"/>
              <w:rPr>
                <w:b/>
                <w:sz w:val="18"/>
                <w:szCs w:val="23"/>
              </w:rPr>
            </w:pPr>
            <w:r w:rsidRPr="001053E9">
              <w:rPr>
                <w:b/>
                <w:sz w:val="18"/>
                <w:szCs w:val="23"/>
              </w:rPr>
              <w:t>Lab</w:t>
            </w:r>
          </w:p>
        </w:tc>
        <w:tc>
          <w:tcPr>
            <w:tcW w:w="810" w:type="dxa"/>
          </w:tcPr>
          <w:p w14:paraId="730A06BE" w14:textId="77777777" w:rsidR="006E6F37" w:rsidRPr="001053E9" w:rsidRDefault="006E6F37" w:rsidP="005031DD">
            <w:pPr>
              <w:jc w:val="center"/>
              <w:rPr>
                <w:b/>
                <w:sz w:val="18"/>
                <w:szCs w:val="23"/>
              </w:rPr>
            </w:pPr>
            <w:r w:rsidRPr="001053E9">
              <w:rPr>
                <w:b/>
                <w:sz w:val="18"/>
                <w:szCs w:val="23"/>
              </w:rPr>
              <w:t>Clinical</w:t>
            </w:r>
          </w:p>
        </w:tc>
        <w:tc>
          <w:tcPr>
            <w:tcW w:w="810" w:type="dxa"/>
            <w:vMerge/>
          </w:tcPr>
          <w:p w14:paraId="62B1965D" w14:textId="77777777" w:rsidR="006E6F37" w:rsidRPr="001053E9" w:rsidRDefault="006E6F37" w:rsidP="005031DD">
            <w:pPr>
              <w:jc w:val="center"/>
              <w:rPr>
                <w:b/>
                <w:sz w:val="18"/>
                <w:szCs w:val="23"/>
              </w:rPr>
            </w:pPr>
          </w:p>
        </w:tc>
        <w:tc>
          <w:tcPr>
            <w:tcW w:w="1350" w:type="dxa"/>
            <w:vMerge/>
          </w:tcPr>
          <w:p w14:paraId="51E26AFD" w14:textId="77777777" w:rsidR="006E6F37" w:rsidRPr="001053E9" w:rsidRDefault="006E6F37" w:rsidP="005031DD">
            <w:pPr>
              <w:rPr>
                <w:b/>
                <w:sz w:val="16"/>
              </w:rPr>
            </w:pPr>
          </w:p>
        </w:tc>
        <w:tc>
          <w:tcPr>
            <w:tcW w:w="810" w:type="dxa"/>
            <w:vMerge/>
          </w:tcPr>
          <w:p w14:paraId="762F59C1" w14:textId="77777777" w:rsidR="006E6F37" w:rsidRPr="001053E9" w:rsidRDefault="006E6F37" w:rsidP="005031DD">
            <w:pPr>
              <w:jc w:val="center"/>
              <w:rPr>
                <w:b/>
                <w:sz w:val="18"/>
                <w:szCs w:val="23"/>
              </w:rPr>
            </w:pPr>
          </w:p>
        </w:tc>
        <w:tc>
          <w:tcPr>
            <w:tcW w:w="540" w:type="dxa"/>
          </w:tcPr>
          <w:p w14:paraId="119325E5" w14:textId="77777777" w:rsidR="006E6F37" w:rsidRPr="001053E9" w:rsidRDefault="006E6F37" w:rsidP="005031DD">
            <w:pPr>
              <w:jc w:val="center"/>
              <w:rPr>
                <w:b/>
                <w:sz w:val="18"/>
                <w:szCs w:val="23"/>
              </w:rPr>
            </w:pPr>
            <w:r w:rsidRPr="001053E9">
              <w:rPr>
                <w:b/>
                <w:sz w:val="18"/>
                <w:szCs w:val="23"/>
              </w:rPr>
              <w:t>Lab</w:t>
            </w:r>
          </w:p>
        </w:tc>
        <w:tc>
          <w:tcPr>
            <w:tcW w:w="900" w:type="dxa"/>
          </w:tcPr>
          <w:p w14:paraId="55218181" w14:textId="77777777" w:rsidR="006E6F37" w:rsidRPr="001053E9" w:rsidRDefault="006E6F37" w:rsidP="005031DD">
            <w:pPr>
              <w:jc w:val="center"/>
              <w:rPr>
                <w:b/>
                <w:sz w:val="18"/>
                <w:szCs w:val="23"/>
              </w:rPr>
            </w:pPr>
            <w:r w:rsidRPr="001053E9">
              <w:rPr>
                <w:b/>
                <w:sz w:val="18"/>
                <w:szCs w:val="23"/>
              </w:rPr>
              <w:t>Ecology</w:t>
            </w:r>
          </w:p>
        </w:tc>
        <w:tc>
          <w:tcPr>
            <w:tcW w:w="1170" w:type="dxa"/>
          </w:tcPr>
          <w:p w14:paraId="01721E5D" w14:textId="77777777" w:rsidR="006E6F37" w:rsidRPr="001053E9" w:rsidRDefault="006E6F37" w:rsidP="005031DD">
            <w:pPr>
              <w:jc w:val="center"/>
              <w:rPr>
                <w:b/>
                <w:sz w:val="18"/>
                <w:szCs w:val="23"/>
              </w:rPr>
            </w:pPr>
            <w:r w:rsidRPr="001053E9">
              <w:rPr>
                <w:b/>
                <w:sz w:val="18"/>
                <w:szCs w:val="23"/>
              </w:rPr>
              <w:t>Genomics</w:t>
            </w:r>
          </w:p>
        </w:tc>
        <w:tc>
          <w:tcPr>
            <w:tcW w:w="1440" w:type="dxa"/>
          </w:tcPr>
          <w:p w14:paraId="120389DD" w14:textId="77777777" w:rsidR="006E6F37" w:rsidRPr="001053E9" w:rsidRDefault="006E6F37" w:rsidP="005031DD">
            <w:pPr>
              <w:jc w:val="center"/>
              <w:rPr>
                <w:b/>
                <w:sz w:val="18"/>
                <w:szCs w:val="23"/>
              </w:rPr>
            </w:pPr>
            <w:r w:rsidRPr="001053E9">
              <w:rPr>
                <w:b/>
                <w:sz w:val="18"/>
                <w:szCs w:val="23"/>
              </w:rPr>
              <w:t>Bioinformatics</w:t>
            </w:r>
          </w:p>
        </w:tc>
        <w:tc>
          <w:tcPr>
            <w:tcW w:w="1818" w:type="dxa"/>
            <w:vMerge/>
          </w:tcPr>
          <w:p w14:paraId="2CCC9FFB" w14:textId="77777777" w:rsidR="006E6F37" w:rsidRPr="001053E9" w:rsidRDefault="006E6F37" w:rsidP="005031DD">
            <w:pPr>
              <w:jc w:val="center"/>
              <w:rPr>
                <w:sz w:val="18"/>
                <w:szCs w:val="23"/>
              </w:rPr>
            </w:pPr>
          </w:p>
        </w:tc>
      </w:tr>
      <w:tr w:rsidR="006E6F37" w:rsidRPr="001053E9" w14:paraId="13D51F7D" w14:textId="77777777" w:rsidTr="00E43844">
        <w:tc>
          <w:tcPr>
            <w:tcW w:w="954" w:type="dxa"/>
          </w:tcPr>
          <w:p w14:paraId="55CFFFAE" w14:textId="77777777" w:rsidR="006E6F37" w:rsidRPr="006E6F37" w:rsidRDefault="0049523A" w:rsidP="005031DD">
            <w:pPr>
              <w:jc w:val="center"/>
              <w:rPr>
                <w:b/>
                <w:sz w:val="18"/>
                <w:szCs w:val="16"/>
                <w:highlight w:val="magenta"/>
              </w:rPr>
            </w:pPr>
            <w:r>
              <w:rPr>
                <w:b/>
                <w:sz w:val="18"/>
                <w:szCs w:val="16"/>
                <w:highlight w:val="magenta"/>
              </w:rPr>
              <w:t>EHA</w:t>
            </w:r>
            <w:r w:rsidR="006740B8">
              <w:rPr>
                <w:b/>
                <w:sz w:val="18"/>
                <w:szCs w:val="16"/>
                <w:highlight w:val="magenta"/>
              </w:rPr>
              <w:t xml:space="preserve"> </w:t>
            </w:r>
          </w:p>
        </w:tc>
        <w:tc>
          <w:tcPr>
            <w:tcW w:w="900" w:type="dxa"/>
          </w:tcPr>
          <w:p w14:paraId="27908C88" w14:textId="77777777" w:rsidR="006E6F37" w:rsidRPr="001053E9" w:rsidRDefault="00F23DDF" w:rsidP="005031DD">
            <w:pPr>
              <w:jc w:val="center"/>
              <w:rPr>
                <w:sz w:val="18"/>
                <w:szCs w:val="23"/>
              </w:rPr>
            </w:pPr>
            <w:r>
              <w:rPr>
                <w:sz w:val="18"/>
                <w:szCs w:val="23"/>
              </w:rPr>
              <w:t>X</w:t>
            </w:r>
          </w:p>
        </w:tc>
        <w:tc>
          <w:tcPr>
            <w:tcW w:w="630" w:type="dxa"/>
          </w:tcPr>
          <w:p w14:paraId="6F6BFA78" w14:textId="77777777" w:rsidR="006E6F37" w:rsidRPr="001053E9" w:rsidRDefault="00F23DDF" w:rsidP="005031DD">
            <w:pPr>
              <w:jc w:val="center"/>
              <w:rPr>
                <w:sz w:val="18"/>
                <w:szCs w:val="23"/>
              </w:rPr>
            </w:pPr>
            <w:r>
              <w:rPr>
                <w:sz w:val="18"/>
                <w:szCs w:val="23"/>
              </w:rPr>
              <w:t>X</w:t>
            </w:r>
          </w:p>
        </w:tc>
        <w:tc>
          <w:tcPr>
            <w:tcW w:w="630" w:type="dxa"/>
          </w:tcPr>
          <w:p w14:paraId="1C74CF39" w14:textId="77777777" w:rsidR="006E6F37" w:rsidRPr="001053E9" w:rsidRDefault="00F23DDF" w:rsidP="005031DD">
            <w:pPr>
              <w:jc w:val="center"/>
              <w:rPr>
                <w:sz w:val="18"/>
                <w:szCs w:val="23"/>
              </w:rPr>
            </w:pPr>
            <w:r>
              <w:rPr>
                <w:sz w:val="18"/>
                <w:szCs w:val="23"/>
              </w:rPr>
              <w:t>X</w:t>
            </w:r>
          </w:p>
        </w:tc>
        <w:tc>
          <w:tcPr>
            <w:tcW w:w="720" w:type="dxa"/>
          </w:tcPr>
          <w:p w14:paraId="483E7A79" w14:textId="77777777" w:rsidR="006E6F37" w:rsidRPr="001053E9" w:rsidRDefault="00F23DDF" w:rsidP="005031DD">
            <w:pPr>
              <w:jc w:val="center"/>
              <w:rPr>
                <w:sz w:val="18"/>
                <w:szCs w:val="23"/>
              </w:rPr>
            </w:pPr>
            <w:r>
              <w:rPr>
                <w:sz w:val="18"/>
                <w:szCs w:val="23"/>
              </w:rPr>
              <w:t>X</w:t>
            </w:r>
            <w:r w:rsidR="006E6F37" w:rsidRPr="001053E9">
              <w:rPr>
                <w:sz w:val="18"/>
                <w:szCs w:val="23"/>
              </w:rPr>
              <w:t xml:space="preserve"> </w:t>
            </w:r>
          </w:p>
        </w:tc>
        <w:tc>
          <w:tcPr>
            <w:tcW w:w="630" w:type="dxa"/>
          </w:tcPr>
          <w:p w14:paraId="1FED59B6" w14:textId="77777777" w:rsidR="006E6F37" w:rsidRPr="001053E9" w:rsidRDefault="006E6F37" w:rsidP="005031DD">
            <w:pPr>
              <w:jc w:val="center"/>
              <w:rPr>
                <w:sz w:val="18"/>
                <w:szCs w:val="23"/>
              </w:rPr>
            </w:pPr>
          </w:p>
        </w:tc>
        <w:tc>
          <w:tcPr>
            <w:tcW w:w="810" w:type="dxa"/>
          </w:tcPr>
          <w:p w14:paraId="6F976837" w14:textId="77777777" w:rsidR="006E6F37" w:rsidRPr="001053E9" w:rsidRDefault="006E6F37" w:rsidP="005031DD">
            <w:pPr>
              <w:jc w:val="center"/>
              <w:rPr>
                <w:sz w:val="18"/>
                <w:szCs w:val="23"/>
              </w:rPr>
            </w:pPr>
          </w:p>
        </w:tc>
        <w:tc>
          <w:tcPr>
            <w:tcW w:w="810" w:type="dxa"/>
          </w:tcPr>
          <w:p w14:paraId="1E8602AA" w14:textId="77777777" w:rsidR="006E6F37" w:rsidRPr="001053E9" w:rsidRDefault="00F23DDF" w:rsidP="005031DD">
            <w:pPr>
              <w:jc w:val="center"/>
              <w:rPr>
                <w:sz w:val="18"/>
                <w:szCs w:val="23"/>
              </w:rPr>
            </w:pPr>
            <w:r>
              <w:rPr>
                <w:sz w:val="18"/>
                <w:szCs w:val="23"/>
              </w:rPr>
              <w:t>X</w:t>
            </w:r>
          </w:p>
        </w:tc>
        <w:tc>
          <w:tcPr>
            <w:tcW w:w="1350" w:type="dxa"/>
          </w:tcPr>
          <w:p w14:paraId="1620F0D4" w14:textId="77777777" w:rsidR="006E6F37" w:rsidRPr="001053E9" w:rsidRDefault="00F23DDF" w:rsidP="005031DD">
            <w:pPr>
              <w:rPr>
                <w:sz w:val="16"/>
              </w:rPr>
            </w:pPr>
            <w:r>
              <w:rPr>
                <w:sz w:val="16"/>
              </w:rPr>
              <w:t>X</w:t>
            </w:r>
          </w:p>
        </w:tc>
        <w:tc>
          <w:tcPr>
            <w:tcW w:w="810" w:type="dxa"/>
          </w:tcPr>
          <w:p w14:paraId="08C3A9EB" w14:textId="77777777" w:rsidR="006E6F37" w:rsidRPr="001053E9" w:rsidRDefault="00F23DDF" w:rsidP="005031DD">
            <w:pPr>
              <w:jc w:val="center"/>
              <w:rPr>
                <w:sz w:val="18"/>
                <w:szCs w:val="23"/>
              </w:rPr>
            </w:pPr>
            <w:r>
              <w:rPr>
                <w:sz w:val="18"/>
                <w:szCs w:val="23"/>
              </w:rPr>
              <w:t>X</w:t>
            </w:r>
          </w:p>
        </w:tc>
        <w:tc>
          <w:tcPr>
            <w:tcW w:w="540" w:type="dxa"/>
          </w:tcPr>
          <w:p w14:paraId="555A58FD" w14:textId="77777777" w:rsidR="006E6F37" w:rsidRPr="001053E9" w:rsidRDefault="00F23DDF" w:rsidP="005031DD">
            <w:pPr>
              <w:jc w:val="center"/>
              <w:rPr>
                <w:sz w:val="18"/>
                <w:szCs w:val="23"/>
              </w:rPr>
            </w:pPr>
            <w:r>
              <w:rPr>
                <w:sz w:val="18"/>
                <w:szCs w:val="23"/>
              </w:rPr>
              <w:t>X</w:t>
            </w:r>
          </w:p>
        </w:tc>
        <w:tc>
          <w:tcPr>
            <w:tcW w:w="900" w:type="dxa"/>
          </w:tcPr>
          <w:p w14:paraId="0614B9BB" w14:textId="77777777" w:rsidR="006E6F37" w:rsidRPr="001053E9" w:rsidRDefault="00F23DDF" w:rsidP="005031DD">
            <w:pPr>
              <w:jc w:val="center"/>
              <w:rPr>
                <w:sz w:val="18"/>
                <w:szCs w:val="23"/>
              </w:rPr>
            </w:pPr>
            <w:r>
              <w:rPr>
                <w:sz w:val="18"/>
                <w:szCs w:val="23"/>
              </w:rPr>
              <w:t>X</w:t>
            </w:r>
          </w:p>
        </w:tc>
        <w:tc>
          <w:tcPr>
            <w:tcW w:w="1170" w:type="dxa"/>
          </w:tcPr>
          <w:p w14:paraId="6425E9E9" w14:textId="77777777" w:rsidR="006E6F37" w:rsidRPr="001053E9" w:rsidRDefault="00F23DDF" w:rsidP="005031DD">
            <w:pPr>
              <w:jc w:val="center"/>
              <w:rPr>
                <w:sz w:val="18"/>
                <w:szCs w:val="23"/>
              </w:rPr>
            </w:pPr>
            <w:r>
              <w:rPr>
                <w:sz w:val="18"/>
                <w:szCs w:val="23"/>
              </w:rPr>
              <w:t>X</w:t>
            </w:r>
          </w:p>
        </w:tc>
        <w:tc>
          <w:tcPr>
            <w:tcW w:w="1440" w:type="dxa"/>
          </w:tcPr>
          <w:p w14:paraId="1D8B8B94" w14:textId="77777777" w:rsidR="006E6F37" w:rsidRPr="001053E9" w:rsidRDefault="00F23DDF" w:rsidP="005031DD">
            <w:pPr>
              <w:jc w:val="center"/>
              <w:rPr>
                <w:sz w:val="18"/>
                <w:szCs w:val="23"/>
              </w:rPr>
            </w:pPr>
            <w:r>
              <w:rPr>
                <w:sz w:val="18"/>
                <w:szCs w:val="23"/>
              </w:rPr>
              <w:t>X</w:t>
            </w:r>
          </w:p>
        </w:tc>
        <w:tc>
          <w:tcPr>
            <w:tcW w:w="1818" w:type="dxa"/>
          </w:tcPr>
          <w:p w14:paraId="0D7670E1" w14:textId="77777777" w:rsidR="006E6F37" w:rsidRPr="001053E9" w:rsidRDefault="00F23DDF" w:rsidP="005031DD">
            <w:pPr>
              <w:jc w:val="center"/>
              <w:rPr>
                <w:sz w:val="18"/>
                <w:szCs w:val="23"/>
              </w:rPr>
            </w:pPr>
            <w:r>
              <w:rPr>
                <w:sz w:val="18"/>
                <w:szCs w:val="23"/>
              </w:rPr>
              <w:t>X</w:t>
            </w:r>
          </w:p>
        </w:tc>
      </w:tr>
    </w:tbl>
    <w:p w14:paraId="7225B747" w14:textId="77777777" w:rsidR="00803174" w:rsidRPr="003D5F55" w:rsidRDefault="00803174" w:rsidP="00EF450B">
      <w:pPr>
        <w:spacing w:after="0"/>
        <w:ind w:firstLine="720"/>
        <w:rPr>
          <w:i/>
          <w:sz w:val="20"/>
          <w:szCs w:val="23"/>
        </w:rPr>
      </w:pPr>
    </w:p>
    <w:p w14:paraId="2BF519D4" w14:textId="77777777" w:rsidR="0049523A" w:rsidRDefault="0049523A" w:rsidP="00803174">
      <w:pPr>
        <w:spacing w:after="0"/>
        <w:ind w:firstLine="720"/>
        <w:rPr>
          <w:sz w:val="16"/>
          <w:szCs w:val="23"/>
        </w:rPr>
      </w:pPr>
    </w:p>
    <w:p w14:paraId="74EC9761" w14:textId="77777777" w:rsidR="00803174" w:rsidRPr="000E573A" w:rsidRDefault="00803174" w:rsidP="00803174">
      <w:pPr>
        <w:spacing w:after="0"/>
        <w:ind w:firstLine="720"/>
        <w:rPr>
          <w:sz w:val="16"/>
          <w:szCs w:val="23"/>
        </w:rPr>
      </w:pPr>
      <w:r w:rsidRPr="000E573A">
        <w:rPr>
          <w:sz w:val="16"/>
          <w:szCs w:val="23"/>
        </w:rPr>
        <w:t xml:space="preserve">TASK 2:  Visiting Scientists and Scientific Mentors [6 - 12 month overseas residence positions]: to support development of capacity for performing Basic </w:t>
      </w:r>
      <w:proofErr w:type="gramStart"/>
      <w:r w:rsidRPr="000E573A">
        <w:rPr>
          <w:sz w:val="16"/>
          <w:szCs w:val="23"/>
        </w:rPr>
        <w:t>Research ….</w:t>
      </w:r>
      <w:proofErr w:type="gramEnd"/>
      <w:r w:rsidRPr="000E573A">
        <w:rPr>
          <w:sz w:val="16"/>
          <w:szCs w:val="23"/>
        </w:rPr>
        <w:t xml:space="preserve"> </w:t>
      </w:r>
      <w:proofErr w:type="gramStart"/>
      <w:r w:rsidRPr="000E573A">
        <w:rPr>
          <w:sz w:val="16"/>
          <w:szCs w:val="23"/>
        </w:rPr>
        <w:t>disciplines</w:t>
      </w:r>
      <w:proofErr w:type="gramEnd"/>
      <w:r w:rsidRPr="000E573A">
        <w:rPr>
          <w:sz w:val="16"/>
          <w:szCs w:val="23"/>
        </w:rPr>
        <w:t xml:space="preserve"> include, but are not limited to, veterinary medicine, human medicine, epidemiology, public health, microbiology, and molecular biology. VS/SMs may be required to live and work in CBEP partner countries for up to 12 months per year. </w:t>
      </w:r>
    </w:p>
    <w:p w14:paraId="33785B60" w14:textId="77777777" w:rsidR="00803174" w:rsidRPr="000E573A" w:rsidRDefault="00803174" w:rsidP="00803174">
      <w:pPr>
        <w:spacing w:after="0"/>
        <w:ind w:firstLine="720"/>
        <w:rPr>
          <w:sz w:val="16"/>
          <w:szCs w:val="23"/>
        </w:rPr>
      </w:pPr>
      <w:r w:rsidRPr="000E573A">
        <w:rPr>
          <w:sz w:val="16"/>
          <w:szCs w:val="23"/>
        </w:rPr>
        <w:lastRenderedPageBreak/>
        <w:t>TASK 3</w:t>
      </w:r>
      <w:proofErr w:type="gramStart"/>
      <w:r w:rsidRPr="000E573A">
        <w:rPr>
          <w:sz w:val="16"/>
          <w:szCs w:val="23"/>
        </w:rPr>
        <w:t>:   Qualified</w:t>
      </w:r>
      <w:proofErr w:type="gramEnd"/>
      <w:r w:rsidRPr="000E573A">
        <w:rPr>
          <w:sz w:val="16"/>
          <w:szCs w:val="23"/>
        </w:rPr>
        <w:t xml:space="preserve"> Trainers: Training support will cover a broad spectrum including, but not limited to, veterinary and clinical medicine techniques (i.e., laboratory, diagnostics, epidemiology, GIS, biosafety &amp; biosecurity), emergent disease outbreak response activities as coordinated through the DTRA COR, disease outbreak response methodology, and public health preparedness; as well as specialized </w:t>
      </w:r>
      <w:proofErr w:type="spellStart"/>
      <w:r w:rsidRPr="000E573A">
        <w:rPr>
          <w:sz w:val="16"/>
          <w:szCs w:val="23"/>
        </w:rPr>
        <w:t>grantsmanship</w:t>
      </w:r>
      <w:proofErr w:type="spellEnd"/>
      <w:r w:rsidRPr="000E573A">
        <w:rPr>
          <w:sz w:val="16"/>
          <w:szCs w:val="23"/>
        </w:rPr>
        <w:t xml:space="preserve"> training with emphasis on formulating hypotheses, data analysis and presentation, and developing clear technical approaches.                                                                                                                              </w:t>
      </w:r>
    </w:p>
    <w:p w14:paraId="2B564486" w14:textId="77777777" w:rsidR="00803174" w:rsidRPr="000E573A" w:rsidRDefault="00803174" w:rsidP="00803174">
      <w:pPr>
        <w:spacing w:after="0"/>
        <w:ind w:firstLine="720"/>
        <w:rPr>
          <w:sz w:val="16"/>
          <w:szCs w:val="23"/>
        </w:rPr>
      </w:pPr>
      <w:r w:rsidRPr="000E573A">
        <w:rPr>
          <w:sz w:val="16"/>
          <w:szCs w:val="23"/>
        </w:rPr>
        <w:t xml:space="preserve">TASK 4:  Subject Matter Experts: The Contractor shall provide SMEs to provide technical support to CBEP partner nations... support will include, but not be limited to, reviewing products provided by contractors, assisting CBEP implementation efforts, consulting at various meetings and conferences, providing emergent response activities, and providing ongoing technical support and expertise to CBEP.                                                                                                                                                                                                                                                                                                     </w:t>
      </w:r>
    </w:p>
    <w:p w14:paraId="278F8992" w14:textId="77777777" w:rsidR="00803174" w:rsidRPr="000E573A" w:rsidRDefault="00803174" w:rsidP="00803174">
      <w:pPr>
        <w:spacing w:after="0"/>
        <w:ind w:firstLine="720"/>
        <w:rPr>
          <w:sz w:val="16"/>
          <w:szCs w:val="23"/>
        </w:rPr>
      </w:pPr>
      <w:r w:rsidRPr="000E573A">
        <w:rPr>
          <w:sz w:val="16"/>
          <w:szCs w:val="23"/>
        </w:rPr>
        <w:t>TASK 5:  Research Collaborators [40% FTE faculty/research staff positions]:  RCs will be senior scientists/faculty who can nominally devote approximately 20% of their academic year</w:t>
      </w:r>
      <w:r w:rsidR="00E43844" w:rsidRPr="000E573A">
        <w:rPr>
          <w:sz w:val="16"/>
          <w:szCs w:val="23"/>
        </w:rPr>
        <w:t xml:space="preserve"> </w:t>
      </w:r>
      <w:r w:rsidRPr="000E573A">
        <w:rPr>
          <w:sz w:val="16"/>
          <w:szCs w:val="23"/>
        </w:rPr>
        <w:t xml:space="preserve">plus summer </w:t>
      </w:r>
      <w:proofErr w:type="gramStart"/>
      <w:r w:rsidRPr="000E573A">
        <w:rPr>
          <w:sz w:val="16"/>
          <w:szCs w:val="23"/>
        </w:rPr>
        <w:t>months</w:t>
      </w:r>
      <w:r w:rsidR="00E43844" w:rsidRPr="000E573A">
        <w:rPr>
          <w:sz w:val="16"/>
          <w:szCs w:val="23"/>
        </w:rPr>
        <w:t xml:space="preserve"> </w:t>
      </w:r>
      <w:r w:rsidRPr="000E573A">
        <w:rPr>
          <w:sz w:val="16"/>
          <w:szCs w:val="23"/>
        </w:rPr>
        <w:t xml:space="preserve"> to</w:t>
      </w:r>
      <w:proofErr w:type="gramEnd"/>
      <w:r w:rsidRPr="000E573A">
        <w:rPr>
          <w:sz w:val="16"/>
          <w:szCs w:val="23"/>
        </w:rPr>
        <w:t xml:space="preserve"> </w:t>
      </w:r>
      <w:r w:rsidR="00E43844" w:rsidRPr="000E573A">
        <w:rPr>
          <w:sz w:val="16"/>
          <w:szCs w:val="23"/>
        </w:rPr>
        <w:t xml:space="preserve"> provide technical oversight of</w:t>
      </w:r>
      <w:r w:rsidRPr="000E573A">
        <w:rPr>
          <w:sz w:val="16"/>
          <w:szCs w:val="23"/>
        </w:rPr>
        <w:t xml:space="preserve"> research activ</w:t>
      </w:r>
      <w:r w:rsidR="00E43844" w:rsidRPr="000E573A">
        <w:rPr>
          <w:sz w:val="16"/>
          <w:szCs w:val="23"/>
        </w:rPr>
        <w:t xml:space="preserve">ities in CBEP partner countries, </w:t>
      </w:r>
      <w:r w:rsidRPr="000E573A">
        <w:rPr>
          <w:sz w:val="16"/>
          <w:szCs w:val="23"/>
        </w:rPr>
        <w:t xml:space="preserve">and technical oversight and review of research reports and manuscripts for publication.                                                                                                                                                 </w:t>
      </w:r>
    </w:p>
    <w:p w14:paraId="489D650E" w14:textId="77777777" w:rsidR="00803174" w:rsidRPr="000E573A" w:rsidRDefault="00803174" w:rsidP="00803174">
      <w:pPr>
        <w:spacing w:after="0"/>
        <w:ind w:firstLine="720"/>
        <w:rPr>
          <w:sz w:val="16"/>
          <w:szCs w:val="23"/>
        </w:rPr>
      </w:pPr>
      <w:r w:rsidRPr="000E573A">
        <w:rPr>
          <w:sz w:val="16"/>
          <w:szCs w:val="23"/>
        </w:rPr>
        <w:t>TASK 6 (Option):  Surge Support [on-demand/ad hoc operations]:  The Contractor shall leverage STEP team members and collaborator network relationships to provide science and technical support for emergent requirements</w:t>
      </w:r>
      <w:r w:rsidR="000E573A">
        <w:rPr>
          <w:sz w:val="16"/>
          <w:szCs w:val="23"/>
        </w:rPr>
        <w:t xml:space="preserve"> for s</w:t>
      </w:r>
      <w:r w:rsidRPr="000E573A">
        <w:rPr>
          <w:sz w:val="16"/>
          <w:szCs w:val="23"/>
        </w:rPr>
        <w:t xml:space="preserve">urge support activities </w:t>
      </w:r>
      <w:r w:rsidR="000E573A">
        <w:rPr>
          <w:sz w:val="16"/>
          <w:szCs w:val="23"/>
        </w:rPr>
        <w:t xml:space="preserve">that </w:t>
      </w:r>
      <w:r w:rsidRPr="000E573A">
        <w:rPr>
          <w:sz w:val="16"/>
          <w:szCs w:val="23"/>
        </w:rPr>
        <w:t>may include, but are not limited to, disease outbreak response activities associated with sample collection, surveillance, dete</w:t>
      </w:r>
      <w:r w:rsidR="000E573A">
        <w:rPr>
          <w:sz w:val="16"/>
          <w:szCs w:val="23"/>
        </w:rPr>
        <w:t>ction, diagnosis, and reporting.</w:t>
      </w:r>
      <w:r w:rsidRPr="000E573A">
        <w:rPr>
          <w:sz w:val="16"/>
          <w:szCs w:val="23"/>
        </w:rPr>
        <w:t xml:space="preserve">                                                                                                                                               </w:t>
      </w:r>
    </w:p>
    <w:p w14:paraId="593A9AB5" w14:textId="77777777" w:rsidR="00803174" w:rsidRPr="000E573A" w:rsidRDefault="00E43844" w:rsidP="00803174">
      <w:pPr>
        <w:spacing w:after="0"/>
        <w:ind w:firstLine="720"/>
        <w:rPr>
          <w:sz w:val="16"/>
          <w:szCs w:val="23"/>
        </w:rPr>
      </w:pPr>
      <w:r w:rsidRPr="000E573A">
        <w:rPr>
          <w:sz w:val="16"/>
          <w:szCs w:val="23"/>
        </w:rPr>
        <w:t xml:space="preserve">TASK 7 (Option):  small-scale basic research projects in relevant areas including but not limited to biosurveillance, genomic analyses, assay optimization, and microbial ecology. </w:t>
      </w:r>
    </w:p>
    <w:p w14:paraId="384DFCAD" w14:textId="77777777" w:rsidR="006E6F37" w:rsidRPr="00803174" w:rsidRDefault="006E6F37" w:rsidP="00EF450B">
      <w:pPr>
        <w:spacing w:after="0"/>
        <w:ind w:firstLine="720"/>
        <w:rPr>
          <w:sz w:val="23"/>
          <w:szCs w:val="23"/>
        </w:rPr>
      </w:pPr>
    </w:p>
    <w:p w14:paraId="22E35A68" w14:textId="77777777" w:rsidR="000E573A" w:rsidRDefault="003E057C" w:rsidP="001F77FD">
      <w:pPr>
        <w:pStyle w:val="ListParagraph"/>
        <w:numPr>
          <w:ilvl w:val="0"/>
          <w:numId w:val="9"/>
        </w:numPr>
        <w:rPr>
          <w:b/>
          <w:sz w:val="23"/>
          <w:szCs w:val="23"/>
        </w:rPr>
      </w:pPr>
      <w:r w:rsidRPr="005A3C2C">
        <w:rPr>
          <w:b/>
          <w:sz w:val="23"/>
          <w:szCs w:val="23"/>
        </w:rPr>
        <w:t>S</w:t>
      </w:r>
      <w:r w:rsidR="0049523A" w:rsidRPr="005A3C2C">
        <w:rPr>
          <w:b/>
          <w:sz w:val="23"/>
          <w:szCs w:val="23"/>
        </w:rPr>
        <w:t>ummary of</w:t>
      </w:r>
      <w:r w:rsidRPr="005A3C2C">
        <w:rPr>
          <w:b/>
          <w:sz w:val="23"/>
          <w:szCs w:val="23"/>
        </w:rPr>
        <w:t xml:space="preserve"> </w:t>
      </w:r>
      <w:r w:rsidR="0049523A" w:rsidRPr="005A3C2C">
        <w:rPr>
          <w:b/>
          <w:sz w:val="23"/>
          <w:szCs w:val="23"/>
        </w:rPr>
        <w:t>Relevant Experti</w:t>
      </w:r>
      <w:r w:rsidR="005A3C2C" w:rsidRPr="005A3C2C">
        <w:rPr>
          <w:b/>
          <w:sz w:val="23"/>
          <w:szCs w:val="23"/>
        </w:rPr>
        <w:t>s</w:t>
      </w:r>
      <w:r w:rsidR="0049523A" w:rsidRPr="005A3C2C">
        <w:rPr>
          <w:b/>
          <w:sz w:val="23"/>
          <w:szCs w:val="23"/>
        </w:rPr>
        <w:t>e</w:t>
      </w:r>
      <w:r w:rsidR="005A3C2C" w:rsidRPr="005A3C2C">
        <w:rPr>
          <w:b/>
          <w:sz w:val="23"/>
          <w:szCs w:val="23"/>
        </w:rPr>
        <w:t>, Capabilities,</w:t>
      </w:r>
      <w:r w:rsidR="0049523A" w:rsidRPr="005A3C2C">
        <w:rPr>
          <w:b/>
          <w:sz w:val="23"/>
          <w:szCs w:val="23"/>
        </w:rPr>
        <w:t xml:space="preserve"> and Experience</w:t>
      </w:r>
      <w:r w:rsidRPr="005A3C2C">
        <w:rPr>
          <w:b/>
          <w:sz w:val="23"/>
          <w:szCs w:val="23"/>
        </w:rPr>
        <w:t xml:space="preserve"> </w:t>
      </w:r>
      <w:r w:rsidR="001F77FD" w:rsidRPr="005A3C2C">
        <w:rPr>
          <w:b/>
          <w:sz w:val="23"/>
          <w:szCs w:val="23"/>
        </w:rPr>
        <w:t xml:space="preserve"> </w:t>
      </w:r>
      <w:r w:rsidR="005A3C2C" w:rsidRPr="005A3C2C">
        <w:rPr>
          <w:b/>
          <w:sz w:val="23"/>
          <w:szCs w:val="23"/>
        </w:rPr>
        <w:t xml:space="preserve">(CBEP projects, USAID-EPT, </w:t>
      </w:r>
      <w:proofErr w:type="spellStart"/>
      <w:r w:rsidR="005A3C2C" w:rsidRPr="005A3C2C">
        <w:rPr>
          <w:b/>
          <w:sz w:val="23"/>
          <w:szCs w:val="23"/>
        </w:rPr>
        <w:t>etc</w:t>
      </w:r>
      <w:proofErr w:type="spellEnd"/>
      <w:r w:rsidR="005A3C2C" w:rsidRPr="005A3C2C">
        <w:rPr>
          <w:b/>
          <w:sz w:val="23"/>
          <w:szCs w:val="23"/>
        </w:rPr>
        <w:t>)</w:t>
      </w:r>
    </w:p>
    <w:p w14:paraId="07100E4B" w14:textId="77777777" w:rsidR="00ED6115" w:rsidRPr="00F83D71" w:rsidRDefault="005A3C2C" w:rsidP="00ED6115">
      <w:pPr>
        <w:widowControl w:val="0"/>
        <w:autoSpaceDE w:val="0"/>
        <w:autoSpaceDN w:val="0"/>
        <w:adjustRightInd w:val="0"/>
        <w:spacing w:after="0" w:line="240" w:lineRule="auto"/>
        <w:rPr>
          <w:rFonts w:ascii="Calibri" w:hAnsi="Calibri" w:cs="Times New Roman"/>
        </w:rPr>
      </w:pPr>
      <w:r w:rsidRPr="00F83D71">
        <w:rPr>
          <w:rFonts w:ascii="Calibri" w:hAnsi="Calibri"/>
          <w:sz w:val="23"/>
          <w:szCs w:val="23"/>
        </w:rPr>
        <w:t xml:space="preserve">  </w:t>
      </w:r>
      <w:r w:rsidR="00ED6115" w:rsidRPr="00F83D71">
        <w:rPr>
          <w:rFonts w:ascii="Calibri" w:hAnsi="Calibri" w:cs="Times New Roman"/>
        </w:rPr>
        <w:t>ECOHEALTH ALLIANCE (EHA): EHA scientists have been working on global surveillance, research, epidemiology, and</w:t>
      </w:r>
    </w:p>
    <w:p w14:paraId="0E0103CE"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proofErr w:type="gramStart"/>
      <w:r w:rsidRPr="00F83D71">
        <w:rPr>
          <w:rFonts w:ascii="Calibri" w:hAnsi="Calibri" w:cs="Times New Roman"/>
        </w:rPr>
        <w:t>spatial</w:t>
      </w:r>
      <w:proofErr w:type="gramEnd"/>
      <w:r w:rsidRPr="00F83D71">
        <w:rPr>
          <w:rFonts w:ascii="Calibri" w:hAnsi="Calibri" w:cs="Times New Roman"/>
        </w:rPr>
        <w:t xml:space="preserve"> modeling of </w:t>
      </w:r>
      <w:proofErr w:type="spellStart"/>
      <w:r w:rsidRPr="00F83D71">
        <w:rPr>
          <w:rFonts w:ascii="Calibri" w:hAnsi="Calibri" w:cs="Times New Roman"/>
        </w:rPr>
        <w:t>zoonoses</w:t>
      </w:r>
      <w:proofErr w:type="spellEnd"/>
      <w:r w:rsidRPr="00F83D71">
        <w:rPr>
          <w:rFonts w:ascii="Calibri" w:hAnsi="Calibri" w:cs="Times New Roman"/>
        </w:rPr>
        <w:t xml:space="preserve"> for over 15 years. Their work includes identifying the wildlife origin of SARS, the drivers of</w:t>
      </w:r>
    </w:p>
    <w:p w14:paraId="57FB9DEC"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r w:rsidRPr="00F83D71">
        <w:rPr>
          <w:rFonts w:ascii="Calibri" w:hAnsi="Calibri" w:cs="Times New Roman"/>
        </w:rPr>
        <w:t xml:space="preserve">Nipah and </w:t>
      </w:r>
      <w:proofErr w:type="spellStart"/>
      <w:r w:rsidRPr="00F83D71">
        <w:rPr>
          <w:rFonts w:ascii="Calibri" w:hAnsi="Calibri" w:cs="Times New Roman"/>
        </w:rPr>
        <w:t>Hendra</w:t>
      </w:r>
      <w:proofErr w:type="spellEnd"/>
      <w:r w:rsidRPr="00F83D71">
        <w:rPr>
          <w:rFonts w:ascii="Calibri" w:hAnsi="Calibri" w:cs="Times New Roman"/>
        </w:rPr>
        <w:t xml:space="preserve"> virus emergence, publishing the first map of global EID hotspots and the first scientifically-based</w:t>
      </w:r>
    </w:p>
    <w:p w14:paraId="6AE64764"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proofErr w:type="gramStart"/>
      <w:r w:rsidRPr="00F83D71">
        <w:rPr>
          <w:rFonts w:ascii="Calibri" w:hAnsi="Calibri" w:cs="Times New Roman"/>
        </w:rPr>
        <w:t>estimate</w:t>
      </w:r>
      <w:proofErr w:type="gramEnd"/>
      <w:r w:rsidRPr="00F83D71">
        <w:rPr>
          <w:rFonts w:ascii="Calibri" w:hAnsi="Calibri" w:cs="Times New Roman"/>
        </w:rPr>
        <w:t xml:space="preserve"> of unknown viral diversity, analysis of behavioral risk factors for avian influenza and Nipah virus infection, and</w:t>
      </w:r>
    </w:p>
    <w:p w14:paraId="1F4DAD4F"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proofErr w:type="gramStart"/>
      <w:r w:rsidRPr="00F83D71">
        <w:rPr>
          <w:rFonts w:ascii="Calibri" w:hAnsi="Calibri" w:cs="Times New Roman"/>
        </w:rPr>
        <w:t>acting</w:t>
      </w:r>
      <w:proofErr w:type="gramEnd"/>
      <w:r w:rsidRPr="00F83D71">
        <w:rPr>
          <w:rFonts w:ascii="Calibri" w:hAnsi="Calibri" w:cs="Times New Roman"/>
        </w:rPr>
        <w:t xml:space="preserve"> as country lead in PREDICT-1 for Bangladesh, China, Malaysia, Thailand, Indonesia, and a number of Latin</w:t>
      </w:r>
    </w:p>
    <w:p w14:paraId="01FE6B6C"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r w:rsidRPr="00F83D71">
        <w:rPr>
          <w:rFonts w:ascii="Calibri" w:hAnsi="Calibri" w:cs="Times New Roman"/>
        </w:rPr>
        <w:t>American countries. EHA staff consists of epidemiologists, veterinarians, public health scientists, anthropologists,</w:t>
      </w:r>
    </w:p>
    <w:p w14:paraId="186BB8CC"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proofErr w:type="gramStart"/>
      <w:r w:rsidRPr="00F83D71">
        <w:rPr>
          <w:rFonts w:ascii="Calibri" w:hAnsi="Calibri" w:cs="Times New Roman"/>
        </w:rPr>
        <w:t>economists</w:t>
      </w:r>
      <w:proofErr w:type="gramEnd"/>
      <w:r w:rsidRPr="00F83D71">
        <w:rPr>
          <w:rFonts w:ascii="Calibri" w:hAnsi="Calibri" w:cs="Times New Roman"/>
        </w:rPr>
        <w:t>, mathematicians, virologists, evolutionary biologists, and ecologists. This diverse team works collaboratively</w:t>
      </w:r>
    </w:p>
    <w:p w14:paraId="779D242E"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proofErr w:type="gramStart"/>
      <w:r w:rsidRPr="00F83D71">
        <w:rPr>
          <w:rFonts w:ascii="Calibri" w:hAnsi="Calibri" w:cs="Times New Roman"/>
        </w:rPr>
        <w:t>with</w:t>
      </w:r>
      <w:proofErr w:type="gramEnd"/>
      <w:r w:rsidRPr="00F83D71">
        <w:rPr>
          <w:rFonts w:ascii="Calibri" w:hAnsi="Calibri" w:cs="Times New Roman"/>
        </w:rPr>
        <w:t xml:space="preserve"> a global network of over 70 partners that provides exceptional leverage, including staff from intergovernmental</w:t>
      </w:r>
    </w:p>
    <w:p w14:paraId="6281E0C9"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proofErr w:type="gramStart"/>
      <w:r w:rsidRPr="00F83D71">
        <w:rPr>
          <w:rFonts w:ascii="Calibri" w:hAnsi="Calibri" w:cs="Times New Roman"/>
        </w:rPr>
        <w:t>agencies</w:t>
      </w:r>
      <w:proofErr w:type="gramEnd"/>
      <w:r w:rsidRPr="00F83D71">
        <w:rPr>
          <w:rFonts w:ascii="Calibri" w:hAnsi="Calibri" w:cs="Times New Roman"/>
        </w:rPr>
        <w:t xml:space="preserve"> (WHO, OIE, FAO, DIVERSITAS, IUCN); locally-based wildlife conservation organizations in Asia, Africa and</w:t>
      </w:r>
    </w:p>
    <w:p w14:paraId="2B996466"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proofErr w:type="gramStart"/>
      <w:r w:rsidRPr="00F83D71">
        <w:rPr>
          <w:rFonts w:ascii="Calibri" w:hAnsi="Calibri" w:cs="Times New Roman"/>
        </w:rPr>
        <w:t>Latin America; infectious disease surveillance laboratories including BSL-3 and -4 laboratories; and scientific institutions.</w:t>
      </w:r>
      <w:proofErr w:type="gramEnd"/>
    </w:p>
    <w:p w14:paraId="36AD6DAE"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r w:rsidRPr="00F83D71">
        <w:rPr>
          <w:rFonts w:ascii="Calibri" w:hAnsi="Calibri" w:cs="Times New Roman"/>
        </w:rPr>
        <w:t>EHA is the headquarters of the One Health Alliance of South Asia (OHASA); the Consortium for Conservation Medicine</w:t>
      </w:r>
    </w:p>
    <w:p w14:paraId="365570C5" w14:textId="4EF321F7" w:rsidR="00ED6115" w:rsidRPr="00F83D71" w:rsidRDefault="00ED6115" w:rsidP="00ED6115">
      <w:pPr>
        <w:widowControl w:val="0"/>
        <w:autoSpaceDE w:val="0"/>
        <w:autoSpaceDN w:val="0"/>
        <w:adjustRightInd w:val="0"/>
        <w:spacing w:after="0" w:line="240" w:lineRule="auto"/>
        <w:rPr>
          <w:rFonts w:ascii="Calibri" w:hAnsi="Calibri" w:cs="Times New Roman"/>
        </w:rPr>
      </w:pPr>
      <w:r w:rsidRPr="00F83D71">
        <w:rPr>
          <w:rFonts w:ascii="Calibri" w:hAnsi="Calibri" w:cs="Times New Roman"/>
        </w:rPr>
        <w:t>(CCM); the journal EcoHealth; an NSF Research Coordination Network (</w:t>
      </w:r>
      <w:proofErr w:type="spellStart"/>
      <w:r w:rsidRPr="00F83D71">
        <w:rPr>
          <w:rFonts w:ascii="Calibri" w:hAnsi="Calibri" w:cs="Times New Roman"/>
        </w:rPr>
        <w:t>EcoHealthNET</w:t>
      </w:r>
      <w:proofErr w:type="spellEnd"/>
      <w:r w:rsidRPr="00F83D71">
        <w:rPr>
          <w:rFonts w:ascii="Calibri" w:hAnsi="Calibri" w:cs="Times New Roman"/>
        </w:rPr>
        <w:t>); the IUCN</w:t>
      </w:r>
      <w:r w:rsidR="00816711" w:rsidRPr="00F83D71">
        <w:rPr>
          <w:rFonts w:ascii="Calibri" w:hAnsi="Calibri" w:cs="Times New Roman"/>
        </w:rPr>
        <w:t xml:space="preserve"> SSC</w:t>
      </w:r>
      <w:r w:rsidRPr="00F83D71">
        <w:rPr>
          <w:rFonts w:ascii="Calibri" w:hAnsi="Calibri" w:cs="Times New Roman"/>
        </w:rPr>
        <w:t xml:space="preserve"> Wildlife Health</w:t>
      </w:r>
    </w:p>
    <w:p w14:paraId="06D41720"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r w:rsidRPr="00F83D71">
        <w:rPr>
          <w:rFonts w:ascii="Calibri" w:hAnsi="Calibri" w:cs="Times New Roman"/>
        </w:rPr>
        <w:t>Specialist Group; and the OIE Working Group for Wildlife Diseases. EHA is a member of Columbia University’s Center for</w:t>
      </w:r>
    </w:p>
    <w:p w14:paraId="1187ED23" w14:textId="77777777" w:rsidR="00ED6115" w:rsidRPr="00F83D71" w:rsidRDefault="00ED6115" w:rsidP="00ED6115">
      <w:pPr>
        <w:widowControl w:val="0"/>
        <w:autoSpaceDE w:val="0"/>
        <w:autoSpaceDN w:val="0"/>
        <w:adjustRightInd w:val="0"/>
        <w:spacing w:after="0" w:line="240" w:lineRule="auto"/>
        <w:rPr>
          <w:rFonts w:ascii="Calibri" w:hAnsi="Calibri" w:cs="Times New Roman"/>
        </w:rPr>
      </w:pPr>
      <w:r w:rsidRPr="00F83D71">
        <w:rPr>
          <w:rFonts w:ascii="Calibri" w:hAnsi="Calibri" w:cs="Times New Roman"/>
        </w:rPr>
        <w:t>Environmental Research and Conservation (CERC); all program staff members are thus adjuncts at Columbia University’s</w:t>
      </w:r>
    </w:p>
    <w:p w14:paraId="26A10845" w14:textId="77777777" w:rsidR="005A3C2C" w:rsidRPr="00F83D71" w:rsidRDefault="00ED6115" w:rsidP="00ED6115">
      <w:pPr>
        <w:rPr>
          <w:rFonts w:ascii="Calibri" w:hAnsi="Calibri" w:cs="Times New Roman"/>
        </w:rPr>
      </w:pPr>
      <w:proofErr w:type="gramStart"/>
      <w:r w:rsidRPr="00F83D71">
        <w:rPr>
          <w:rFonts w:ascii="Calibri" w:hAnsi="Calibri" w:cs="Times New Roman"/>
        </w:rPr>
        <w:t>E3B Department or in the Mailman School of Public Health.</w:t>
      </w:r>
      <w:proofErr w:type="gramEnd"/>
    </w:p>
    <w:p w14:paraId="0AC70D85" w14:textId="1E0A8528" w:rsidR="005031DD" w:rsidRPr="00F83D71" w:rsidRDefault="005031DD" w:rsidP="00695C96">
      <w:pPr>
        <w:spacing w:after="0" w:line="240" w:lineRule="auto"/>
        <w:rPr>
          <w:rFonts w:ascii="Calibri" w:hAnsi="Calibri" w:cs="Times New Roman"/>
        </w:rPr>
      </w:pPr>
      <w:r w:rsidRPr="00F83D71">
        <w:rPr>
          <w:rFonts w:ascii="Calibri" w:hAnsi="Calibri" w:cs="Times New Roman"/>
        </w:rPr>
        <w:t xml:space="preserve">DoD DTRA CBEP </w:t>
      </w:r>
      <w:r w:rsidR="008C33EE" w:rsidRPr="00F83D71">
        <w:rPr>
          <w:rFonts w:ascii="Calibri" w:hAnsi="Calibri" w:cs="Arial"/>
        </w:rPr>
        <w:t xml:space="preserve">“Understanding Rift Valley Fever in South Africa”: </w:t>
      </w:r>
      <w:r w:rsidRPr="00F83D71">
        <w:rPr>
          <w:rFonts w:ascii="Calibri" w:hAnsi="Calibri" w:cs="Times New Roman"/>
        </w:rPr>
        <w:t xml:space="preserve">$5M  </w:t>
      </w:r>
      <w:r w:rsidR="008C33EE" w:rsidRPr="00F83D71">
        <w:rPr>
          <w:rFonts w:ascii="Calibri" w:hAnsi="Calibri" w:cs="Times New Roman"/>
        </w:rPr>
        <w:t>(May 2014 – April 2019)</w:t>
      </w:r>
    </w:p>
    <w:p w14:paraId="15947BE8" w14:textId="77777777" w:rsidR="00695C96" w:rsidRPr="00F83D71" w:rsidRDefault="00695C96" w:rsidP="00695C96">
      <w:pPr>
        <w:spacing w:after="0" w:line="240" w:lineRule="auto"/>
        <w:rPr>
          <w:rFonts w:ascii="Calibri" w:hAnsi="Calibri" w:cs="Arial"/>
        </w:rPr>
      </w:pPr>
      <w:r w:rsidRPr="00F83D71">
        <w:rPr>
          <w:rFonts w:ascii="Calibri" w:eastAsia="ＭＳ 明朝" w:hAnsi="Calibri" w:cs="Arial"/>
        </w:rPr>
        <w:t>Grant Number: 11441645</w:t>
      </w:r>
    </w:p>
    <w:p w14:paraId="7C622687" w14:textId="77777777" w:rsidR="00695C96" w:rsidRPr="00F83D71" w:rsidRDefault="00695C96" w:rsidP="00695C96">
      <w:pPr>
        <w:spacing w:after="0" w:line="240" w:lineRule="auto"/>
        <w:rPr>
          <w:rFonts w:ascii="Calibri" w:hAnsi="Calibri" w:cs="Arial"/>
        </w:rPr>
      </w:pPr>
      <w:r w:rsidRPr="00F83D71">
        <w:rPr>
          <w:rFonts w:ascii="Calibri" w:hAnsi="Calibri" w:cs="Arial"/>
        </w:rPr>
        <w:t>DTRA: $743,988 (Year 1 direct costs)</w:t>
      </w:r>
    </w:p>
    <w:p w14:paraId="44E46C83" w14:textId="5484DA14" w:rsidR="00695C96" w:rsidRPr="00F83D71" w:rsidRDefault="00191D95" w:rsidP="00695C96">
      <w:pPr>
        <w:spacing w:after="0" w:line="240" w:lineRule="auto"/>
        <w:rPr>
          <w:rFonts w:ascii="Calibri" w:hAnsi="Calibri" w:cs="Arial"/>
        </w:rPr>
      </w:pPr>
      <w:r>
        <w:rPr>
          <w:rFonts w:ascii="Calibri" w:hAnsi="Calibri" w:cs="Arial"/>
        </w:rPr>
        <w:t>Lead</w:t>
      </w:r>
      <w:r w:rsidR="00556603">
        <w:rPr>
          <w:rFonts w:ascii="Calibri" w:hAnsi="Calibri" w:cs="Arial"/>
        </w:rPr>
        <w:t>ing</w:t>
      </w:r>
      <w:r w:rsidR="000C0FA2" w:rsidRPr="00F83D71">
        <w:rPr>
          <w:rFonts w:ascii="Calibri" w:hAnsi="Calibri" w:cs="Arial"/>
        </w:rPr>
        <w:t xml:space="preserve"> </w:t>
      </w:r>
      <w:r w:rsidR="001A7E14" w:rsidRPr="00F83D71">
        <w:rPr>
          <w:rFonts w:ascii="Calibri" w:hAnsi="Calibri" w:cs="Arial"/>
        </w:rPr>
        <w:t xml:space="preserve">study </w:t>
      </w:r>
      <w:r w:rsidR="00695C96" w:rsidRPr="00F83D71">
        <w:rPr>
          <w:rFonts w:ascii="Calibri" w:hAnsi="Calibri" w:cs="Arial"/>
        </w:rPr>
        <w:t>focused on elucidating the</w:t>
      </w:r>
      <w:r w:rsidR="001C5699" w:rsidRPr="00F83D71">
        <w:rPr>
          <w:rFonts w:ascii="Calibri" w:hAnsi="Calibri" w:cs="Arial"/>
        </w:rPr>
        <w:t xml:space="preserve"> Rift Valley Fever</w:t>
      </w:r>
      <w:r w:rsidR="00695C96" w:rsidRPr="00F83D71">
        <w:rPr>
          <w:rFonts w:ascii="Calibri" w:hAnsi="Calibri" w:cs="Arial"/>
        </w:rPr>
        <w:t xml:space="preserve"> transmission cycle between vectors, domestic animals, wildlife and humans, paired with rainfall and vegetation factors. The research involves surveillance, laboratory diagnostics and analysis components. </w:t>
      </w:r>
      <w:r w:rsidR="001C5FF5" w:rsidRPr="00F83D71">
        <w:rPr>
          <w:rFonts w:ascii="Calibri" w:hAnsi="Calibri" w:cs="Arial"/>
        </w:rPr>
        <w:t>Key p</w:t>
      </w:r>
      <w:r w:rsidR="001A7E14" w:rsidRPr="00F83D71">
        <w:rPr>
          <w:rFonts w:ascii="Calibri" w:hAnsi="Calibri" w:cs="Arial"/>
        </w:rPr>
        <w:t xml:space="preserve">artners </w:t>
      </w:r>
      <w:r w:rsidR="00AA021C" w:rsidRPr="00F83D71">
        <w:rPr>
          <w:rFonts w:ascii="Calibri" w:hAnsi="Calibri" w:cs="Arial"/>
        </w:rPr>
        <w:t>are from South African government (National Institute for Com</w:t>
      </w:r>
      <w:r w:rsidR="00EB181C" w:rsidRPr="00F83D71">
        <w:rPr>
          <w:rFonts w:ascii="Calibri" w:hAnsi="Calibri" w:cs="Arial"/>
        </w:rPr>
        <w:t>m</w:t>
      </w:r>
      <w:r w:rsidR="00AA021C" w:rsidRPr="00F83D71">
        <w:rPr>
          <w:rFonts w:ascii="Calibri" w:hAnsi="Calibri" w:cs="Arial"/>
        </w:rPr>
        <w:t>un</w:t>
      </w:r>
      <w:r w:rsidR="000B45C8" w:rsidRPr="00F83D71">
        <w:rPr>
          <w:rFonts w:ascii="Calibri" w:hAnsi="Calibri" w:cs="Arial"/>
        </w:rPr>
        <w:t xml:space="preserve">icable Diseases of the National </w:t>
      </w:r>
      <w:r w:rsidR="00AA021C" w:rsidRPr="00F83D71">
        <w:rPr>
          <w:rFonts w:ascii="Calibri" w:hAnsi="Calibri" w:cs="Arial"/>
        </w:rPr>
        <w:t>Health Laboratory</w:t>
      </w:r>
      <w:r w:rsidR="000B45C8" w:rsidRPr="00F83D71">
        <w:rPr>
          <w:rFonts w:ascii="Calibri" w:hAnsi="Calibri" w:cs="Arial"/>
        </w:rPr>
        <w:t xml:space="preserve"> Service</w:t>
      </w:r>
      <w:r w:rsidR="00AA021C" w:rsidRPr="00F83D71">
        <w:rPr>
          <w:rFonts w:ascii="Calibri" w:hAnsi="Calibri" w:cs="Arial"/>
        </w:rPr>
        <w:t xml:space="preserve">, Department of </w:t>
      </w:r>
      <w:proofErr w:type="spellStart"/>
      <w:r w:rsidR="00AA021C" w:rsidRPr="00F83D71">
        <w:rPr>
          <w:rFonts w:ascii="Calibri" w:hAnsi="Calibri" w:cs="Arial"/>
        </w:rPr>
        <w:t>Defence</w:t>
      </w:r>
      <w:proofErr w:type="spellEnd"/>
      <w:r w:rsidR="00AA021C" w:rsidRPr="00F83D71">
        <w:rPr>
          <w:rFonts w:ascii="Calibri" w:hAnsi="Calibri" w:cs="Arial"/>
        </w:rPr>
        <w:t xml:space="preserve">, </w:t>
      </w:r>
      <w:r w:rsidR="00081674" w:rsidRPr="00F83D71">
        <w:rPr>
          <w:rFonts w:ascii="Calibri" w:hAnsi="Calibri" w:cs="Arial"/>
        </w:rPr>
        <w:t xml:space="preserve">South African National Parks, </w:t>
      </w:r>
      <w:r w:rsidR="000B45C8" w:rsidRPr="00F83D71">
        <w:rPr>
          <w:rFonts w:ascii="Calibri" w:hAnsi="Calibri" w:cs="Arial"/>
        </w:rPr>
        <w:t xml:space="preserve">and Free State Department of </w:t>
      </w:r>
      <w:r w:rsidR="00FE1E79" w:rsidRPr="00F83D71">
        <w:rPr>
          <w:rFonts w:ascii="Calibri" w:hAnsi="Calibri" w:cs="Helvetica"/>
        </w:rPr>
        <w:t>Economic Development, Tourism &amp; Environmental Affairs</w:t>
      </w:r>
      <w:r w:rsidR="00B3673D" w:rsidRPr="00F83D71">
        <w:rPr>
          <w:rFonts w:ascii="Calibri" w:hAnsi="Calibri" w:cs="Helvetica"/>
        </w:rPr>
        <w:t xml:space="preserve">). </w:t>
      </w:r>
    </w:p>
    <w:p w14:paraId="5B46BA23" w14:textId="77777777" w:rsidR="00A84DDA" w:rsidRPr="009826AA" w:rsidRDefault="00A84DDA" w:rsidP="00695C96">
      <w:pPr>
        <w:spacing w:after="0" w:line="240" w:lineRule="auto"/>
        <w:rPr>
          <w:rFonts w:ascii="Calibri" w:hAnsi="Calibri" w:cs="Times New Roman"/>
        </w:rPr>
      </w:pPr>
    </w:p>
    <w:p w14:paraId="115E619D" w14:textId="622AAC76" w:rsidR="005031DD" w:rsidRDefault="005031DD" w:rsidP="00695C96">
      <w:pPr>
        <w:spacing w:after="0" w:line="240" w:lineRule="auto"/>
        <w:rPr>
          <w:rFonts w:ascii="Calibri" w:hAnsi="Calibri" w:cs="Times New Roman"/>
          <w:sz w:val="23"/>
          <w:szCs w:val="23"/>
        </w:rPr>
      </w:pPr>
      <w:r w:rsidRPr="00ED6C32">
        <w:rPr>
          <w:rFonts w:ascii="Calibri" w:hAnsi="Calibri" w:cs="Times New Roman"/>
          <w:sz w:val="23"/>
          <w:szCs w:val="23"/>
        </w:rPr>
        <w:lastRenderedPageBreak/>
        <w:t>DoD DTRA Biosurveillance Ecosystem</w:t>
      </w:r>
      <w:r w:rsidR="00836C82" w:rsidRPr="00ED6C32">
        <w:rPr>
          <w:rFonts w:ascii="Calibri" w:hAnsi="Calibri" w:cs="Times New Roman"/>
          <w:sz w:val="23"/>
          <w:szCs w:val="23"/>
        </w:rPr>
        <w:t xml:space="preserve"> (</w:t>
      </w:r>
      <w:proofErr w:type="spellStart"/>
      <w:r w:rsidR="00836C82" w:rsidRPr="00ED6C32">
        <w:rPr>
          <w:rFonts w:ascii="Calibri" w:hAnsi="Calibri" w:cs="Times New Roman"/>
          <w:sz w:val="23"/>
          <w:szCs w:val="23"/>
        </w:rPr>
        <w:t>subaward</w:t>
      </w:r>
      <w:proofErr w:type="spellEnd"/>
      <w:r w:rsidR="00836C82" w:rsidRPr="00ED6C32">
        <w:rPr>
          <w:rFonts w:ascii="Calibri" w:hAnsi="Calibri" w:cs="Times New Roman"/>
          <w:sz w:val="23"/>
          <w:szCs w:val="23"/>
        </w:rPr>
        <w:t xml:space="preserve"> via ARA)</w:t>
      </w:r>
    </w:p>
    <w:p w14:paraId="0AA7C4FA" w14:textId="613C53A8" w:rsidR="002432B8" w:rsidRDefault="002432B8" w:rsidP="00695C96">
      <w:pPr>
        <w:spacing w:after="0" w:line="240" w:lineRule="auto"/>
        <w:rPr>
          <w:rFonts w:ascii="Calibri" w:hAnsi="Calibri" w:cs="Times New Roman"/>
          <w:sz w:val="23"/>
          <w:szCs w:val="23"/>
        </w:rPr>
      </w:pPr>
      <w:r>
        <w:rPr>
          <w:rFonts w:ascii="Calibri" w:hAnsi="Calibri" w:cs="Times New Roman"/>
          <w:sz w:val="23"/>
          <w:szCs w:val="23"/>
        </w:rPr>
        <w:t>2012 - 2013</w:t>
      </w:r>
    </w:p>
    <w:p w14:paraId="0BBC2369" w14:textId="6949C3FD" w:rsidR="00ED3387" w:rsidRDefault="00C348DF" w:rsidP="00695C96">
      <w:pPr>
        <w:spacing w:after="0" w:line="240" w:lineRule="auto"/>
        <w:rPr>
          <w:rFonts w:ascii="Calibri" w:hAnsi="Calibri" w:cs="Times New Roman"/>
          <w:sz w:val="23"/>
          <w:szCs w:val="23"/>
        </w:rPr>
      </w:pPr>
      <w:r>
        <w:rPr>
          <w:rFonts w:ascii="Calibri" w:hAnsi="Calibri" w:cs="Times New Roman"/>
          <w:sz w:val="23"/>
          <w:szCs w:val="23"/>
        </w:rPr>
        <w:t>~$400,000</w:t>
      </w:r>
    </w:p>
    <w:p w14:paraId="58D1AA92" w14:textId="52C9DA6E" w:rsidR="00AF29CA" w:rsidRDefault="009317DD" w:rsidP="00695C96">
      <w:pPr>
        <w:spacing w:after="0" w:line="240" w:lineRule="auto"/>
        <w:rPr>
          <w:rFonts w:ascii="Calibri" w:hAnsi="Calibri" w:cs="Times New Roman"/>
          <w:sz w:val="23"/>
          <w:szCs w:val="23"/>
        </w:rPr>
      </w:pPr>
      <w:proofErr w:type="gramStart"/>
      <w:r>
        <w:rPr>
          <w:rFonts w:ascii="Calibri" w:hAnsi="Calibri" w:cs="Times New Roman"/>
          <w:sz w:val="23"/>
          <w:szCs w:val="23"/>
        </w:rPr>
        <w:t xml:space="preserve">Developed cloud-based platform for </w:t>
      </w:r>
      <w:r w:rsidR="007553FA">
        <w:rPr>
          <w:rFonts w:ascii="Calibri" w:hAnsi="Calibri" w:cs="Times New Roman"/>
          <w:sz w:val="23"/>
          <w:szCs w:val="23"/>
        </w:rPr>
        <w:t>early detection of outbreaks.</w:t>
      </w:r>
      <w:proofErr w:type="gramEnd"/>
      <w:r w:rsidR="007553FA">
        <w:rPr>
          <w:rFonts w:ascii="Calibri" w:hAnsi="Calibri" w:cs="Times New Roman"/>
          <w:sz w:val="23"/>
          <w:szCs w:val="23"/>
        </w:rPr>
        <w:t xml:space="preserve"> Technical lead, </w:t>
      </w:r>
      <w:r w:rsidR="00F227BF">
        <w:rPr>
          <w:rFonts w:ascii="Calibri" w:hAnsi="Calibri" w:cs="Times New Roman"/>
          <w:sz w:val="23"/>
          <w:szCs w:val="23"/>
        </w:rPr>
        <w:t>in collaboration with</w:t>
      </w:r>
      <w:r w:rsidR="007553FA">
        <w:rPr>
          <w:rFonts w:ascii="Calibri" w:hAnsi="Calibri" w:cs="Times New Roman"/>
          <w:sz w:val="23"/>
          <w:szCs w:val="23"/>
        </w:rPr>
        <w:t xml:space="preserve"> </w:t>
      </w:r>
      <w:r w:rsidR="00F227BF">
        <w:rPr>
          <w:rFonts w:ascii="Calibri" w:hAnsi="Calibri" w:cs="Times New Roman"/>
          <w:sz w:val="23"/>
          <w:szCs w:val="23"/>
        </w:rPr>
        <w:t xml:space="preserve">partners including Kitware, HealthMap, Sandia National Laboratories, </w:t>
      </w:r>
      <w:proofErr w:type="spellStart"/>
      <w:r w:rsidR="00694C74">
        <w:rPr>
          <w:rFonts w:ascii="Calibri" w:hAnsi="Calibri" w:cs="Times New Roman"/>
          <w:sz w:val="23"/>
          <w:szCs w:val="23"/>
        </w:rPr>
        <w:t>ProMed</w:t>
      </w:r>
      <w:proofErr w:type="spellEnd"/>
      <w:r w:rsidR="00694C74">
        <w:rPr>
          <w:rFonts w:ascii="Calibri" w:hAnsi="Calibri" w:cs="Times New Roman"/>
          <w:sz w:val="23"/>
          <w:szCs w:val="23"/>
        </w:rPr>
        <w:t xml:space="preserve"> Mail, </w:t>
      </w:r>
      <w:proofErr w:type="spellStart"/>
      <w:r w:rsidR="00812246">
        <w:rPr>
          <w:rFonts w:ascii="Calibri" w:hAnsi="Calibri" w:cs="Times New Roman"/>
          <w:sz w:val="23"/>
          <w:szCs w:val="23"/>
        </w:rPr>
        <w:t>Veracient</w:t>
      </w:r>
      <w:proofErr w:type="spellEnd"/>
      <w:r w:rsidR="00812246">
        <w:rPr>
          <w:rFonts w:ascii="Calibri" w:hAnsi="Calibri" w:cs="Times New Roman"/>
          <w:sz w:val="23"/>
          <w:szCs w:val="23"/>
        </w:rPr>
        <w:t>, and Amazon Web Service</w:t>
      </w:r>
      <w:r w:rsidR="009515CD">
        <w:rPr>
          <w:rFonts w:ascii="Calibri" w:hAnsi="Calibri" w:cs="Times New Roman"/>
          <w:sz w:val="23"/>
          <w:szCs w:val="23"/>
        </w:rPr>
        <w:t>s</w:t>
      </w:r>
      <w:r w:rsidR="00812246">
        <w:rPr>
          <w:rFonts w:ascii="Calibri" w:hAnsi="Calibri" w:cs="Times New Roman"/>
          <w:sz w:val="23"/>
          <w:szCs w:val="23"/>
        </w:rPr>
        <w:t xml:space="preserve">. </w:t>
      </w:r>
    </w:p>
    <w:p w14:paraId="1BC21066" w14:textId="77777777" w:rsidR="00812246" w:rsidRPr="00C822E1" w:rsidRDefault="00812246" w:rsidP="00695C96">
      <w:pPr>
        <w:spacing w:after="0" w:line="240" w:lineRule="auto"/>
        <w:rPr>
          <w:rFonts w:ascii="Calibri" w:hAnsi="Calibri" w:cs="Times New Roman"/>
          <w:sz w:val="23"/>
          <w:szCs w:val="23"/>
        </w:rPr>
      </w:pPr>
    </w:p>
    <w:p w14:paraId="4E4773DC" w14:textId="152C7C95" w:rsidR="00BB0E24" w:rsidRPr="00C822E1" w:rsidRDefault="005031DD" w:rsidP="00695C96">
      <w:pPr>
        <w:spacing w:after="0" w:line="240" w:lineRule="auto"/>
        <w:rPr>
          <w:rFonts w:ascii="Calibri" w:hAnsi="Calibri"/>
          <w:sz w:val="23"/>
          <w:szCs w:val="23"/>
        </w:rPr>
      </w:pPr>
      <w:r w:rsidRPr="00C822E1">
        <w:rPr>
          <w:rFonts w:ascii="Calibri" w:hAnsi="Calibri"/>
          <w:sz w:val="23"/>
          <w:szCs w:val="23"/>
        </w:rPr>
        <w:t>DoD DTRA</w:t>
      </w:r>
      <w:r w:rsidR="00BB0E24" w:rsidRPr="00C822E1">
        <w:rPr>
          <w:rFonts w:ascii="Calibri" w:hAnsi="Calibri"/>
          <w:sz w:val="23"/>
          <w:szCs w:val="23"/>
        </w:rPr>
        <w:t xml:space="preserve"> “Rapid Identification Tool (RIT) for Undiagnosed Emerging Infectious Disease (EID) Events”</w:t>
      </w:r>
    </w:p>
    <w:p w14:paraId="5563CB92" w14:textId="7DBBAB0E" w:rsidR="00AE5820" w:rsidRPr="00C822E1" w:rsidRDefault="003965A8" w:rsidP="00695C96">
      <w:pPr>
        <w:spacing w:after="0" w:line="240" w:lineRule="auto"/>
        <w:rPr>
          <w:rFonts w:ascii="Calibri" w:hAnsi="Calibri"/>
          <w:sz w:val="23"/>
          <w:szCs w:val="23"/>
        </w:rPr>
      </w:pPr>
      <w:r w:rsidRPr="00C822E1">
        <w:rPr>
          <w:rFonts w:ascii="Calibri" w:hAnsi="Calibri"/>
          <w:sz w:val="23"/>
          <w:szCs w:val="23"/>
        </w:rPr>
        <w:t xml:space="preserve">01/2013 </w:t>
      </w:r>
      <w:r w:rsidR="0042771F" w:rsidRPr="00C822E1">
        <w:rPr>
          <w:rFonts w:ascii="Calibri" w:hAnsi="Calibri"/>
          <w:sz w:val="23"/>
          <w:szCs w:val="23"/>
        </w:rPr>
        <w:t>–</w:t>
      </w:r>
      <w:r w:rsidRPr="00C822E1">
        <w:rPr>
          <w:rFonts w:ascii="Calibri" w:hAnsi="Calibri"/>
          <w:sz w:val="23"/>
          <w:szCs w:val="23"/>
        </w:rPr>
        <w:t xml:space="preserve"> </w:t>
      </w:r>
      <w:r w:rsidR="0042771F" w:rsidRPr="00C822E1">
        <w:rPr>
          <w:rFonts w:ascii="Calibri" w:hAnsi="Calibri"/>
          <w:sz w:val="23"/>
          <w:szCs w:val="23"/>
        </w:rPr>
        <w:t>07/2014</w:t>
      </w:r>
    </w:p>
    <w:p w14:paraId="3755DB5D" w14:textId="02733504" w:rsidR="001D5B71" w:rsidRPr="006851DA" w:rsidRDefault="005821F0" w:rsidP="00695C96">
      <w:pPr>
        <w:spacing w:after="0" w:line="240" w:lineRule="auto"/>
        <w:rPr>
          <w:rFonts w:ascii="Calibri" w:hAnsi="Calibri"/>
          <w:sz w:val="23"/>
          <w:szCs w:val="23"/>
        </w:rPr>
      </w:pPr>
      <w:r w:rsidRPr="00C822E1">
        <w:rPr>
          <w:rFonts w:ascii="Calibri" w:hAnsi="Calibri"/>
          <w:sz w:val="23"/>
          <w:szCs w:val="23"/>
        </w:rPr>
        <w:t>$1,371,611</w:t>
      </w:r>
      <w:r w:rsidR="00CF09A8">
        <w:rPr>
          <w:rFonts w:ascii="Calibri" w:hAnsi="Calibri"/>
          <w:sz w:val="23"/>
          <w:szCs w:val="23"/>
        </w:rPr>
        <w:t>, plus current cost extension</w:t>
      </w:r>
    </w:p>
    <w:p w14:paraId="79F4B93C" w14:textId="39C3B249" w:rsidR="00287DD7" w:rsidRPr="006851DA" w:rsidRDefault="005631F7" w:rsidP="00695C96">
      <w:pPr>
        <w:spacing w:after="0" w:line="240" w:lineRule="auto"/>
        <w:rPr>
          <w:rFonts w:ascii="Calibri" w:hAnsi="Calibri"/>
          <w:sz w:val="23"/>
          <w:szCs w:val="23"/>
        </w:rPr>
      </w:pPr>
      <w:r w:rsidRPr="006851DA">
        <w:rPr>
          <w:rFonts w:ascii="Calibri" w:hAnsi="Calibri"/>
          <w:sz w:val="23"/>
          <w:szCs w:val="23"/>
        </w:rPr>
        <w:t xml:space="preserve">Developing </w:t>
      </w:r>
      <w:r w:rsidR="00872556" w:rsidRPr="006851DA">
        <w:rPr>
          <w:rFonts w:ascii="Calibri" w:hAnsi="Calibri"/>
          <w:sz w:val="23"/>
          <w:szCs w:val="23"/>
        </w:rPr>
        <w:t>a p</w:t>
      </w:r>
      <w:r w:rsidR="00CF09A8" w:rsidRPr="006851DA">
        <w:rPr>
          <w:rFonts w:ascii="Calibri" w:hAnsi="Calibri"/>
          <w:sz w:val="23"/>
          <w:szCs w:val="23"/>
        </w:rPr>
        <w:t xml:space="preserve">redictive </w:t>
      </w:r>
      <w:r w:rsidR="00872556" w:rsidRPr="006851DA">
        <w:rPr>
          <w:rFonts w:ascii="Calibri" w:hAnsi="Calibri"/>
          <w:sz w:val="23"/>
          <w:szCs w:val="23"/>
        </w:rPr>
        <w:t>tool</w:t>
      </w:r>
      <w:r w:rsidR="00A654C0" w:rsidRPr="006851DA">
        <w:rPr>
          <w:rFonts w:ascii="Calibri" w:hAnsi="Calibri"/>
          <w:sz w:val="23"/>
          <w:szCs w:val="23"/>
        </w:rPr>
        <w:t xml:space="preserve"> for EID </w:t>
      </w:r>
      <w:r w:rsidR="005D67C1" w:rsidRPr="006851DA">
        <w:rPr>
          <w:rFonts w:ascii="Calibri" w:hAnsi="Calibri"/>
          <w:sz w:val="23"/>
          <w:szCs w:val="23"/>
        </w:rPr>
        <w:t>detection</w:t>
      </w:r>
      <w:r w:rsidR="00FE2661" w:rsidRPr="006851DA">
        <w:rPr>
          <w:rFonts w:ascii="Calibri" w:hAnsi="Calibri"/>
          <w:sz w:val="23"/>
          <w:szCs w:val="23"/>
        </w:rPr>
        <w:t xml:space="preserve"> </w:t>
      </w:r>
      <w:r w:rsidR="00C71CC7" w:rsidRPr="006851DA">
        <w:rPr>
          <w:rFonts w:ascii="Calibri" w:hAnsi="Calibri"/>
          <w:sz w:val="23"/>
          <w:szCs w:val="23"/>
        </w:rPr>
        <w:t xml:space="preserve">using </w:t>
      </w:r>
      <w:r w:rsidR="00C71CC7" w:rsidRPr="006851DA">
        <w:rPr>
          <w:rFonts w:ascii="Calibri" w:hAnsi="Calibri" w:cs="Helvetica"/>
          <w:sz w:val="23"/>
          <w:szCs w:val="23"/>
        </w:rPr>
        <w:t>network and cluster analysis in combination with digital surveillance data to detect reports of undiagnosed diseases and provide rapid, most probable diagnoses.</w:t>
      </w:r>
    </w:p>
    <w:p w14:paraId="3802A71C" w14:textId="77777777" w:rsidR="00AF29CA" w:rsidRPr="00C822E1" w:rsidRDefault="00AF29CA" w:rsidP="00695C96">
      <w:pPr>
        <w:spacing w:after="0" w:line="240" w:lineRule="auto"/>
        <w:rPr>
          <w:rFonts w:ascii="Calibri" w:hAnsi="Calibri"/>
          <w:sz w:val="23"/>
          <w:szCs w:val="23"/>
        </w:rPr>
      </w:pPr>
    </w:p>
    <w:p w14:paraId="6941CABD" w14:textId="02AE610D" w:rsidR="00B04FF3" w:rsidRPr="00C822E1" w:rsidRDefault="00F90DE4" w:rsidP="00695C96">
      <w:pPr>
        <w:spacing w:after="0" w:line="240" w:lineRule="auto"/>
        <w:rPr>
          <w:rFonts w:ascii="Calibri" w:hAnsi="Calibri" w:cs="Arial"/>
          <w:sz w:val="23"/>
          <w:szCs w:val="23"/>
        </w:rPr>
      </w:pPr>
      <w:r w:rsidRPr="00C822E1">
        <w:rPr>
          <w:rFonts w:ascii="Calibri" w:hAnsi="Calibri"/>
          <w:sz w:val="23"/>
          <w:szCs w:val="23"/>
        </w:rPr>
        <w:t xml:space="preserve">USAID </w:t>
      </w:r>
      <w:r w:rsidR="00AE5820" w:rsidRPr="00C822E1">
        <w:rPr>
          <w:rFonts w:ascii="Calibri" w:hAnsi="Calibri"/>
          <w:sz w:val="23"/>
          <w:szCs w:val="23"/>
        </w:rPr>
        <w:t>“</w:t>
      </w:r>
      <w:r w:rsidRPr="00C822E1">
        <w:rPr>
          <w:rFonts w:ascii="Calibri" w:hAnsi="Calibri"/>
          <w:sz w:val="23"/>
          <w:szCs w:val="23"/>
        </w:rPr>
        <w:t>Emerging Pandemic Threats</w:t>
      </w:r>
      <w:r w:rsidR="00857E94" w:rsidRPr="00C822E1">
        <w:rPr>
          <w:rFonts w:ascii="Calibri" w:hAnsi="Calibri"/>
          <w:sz w:val="23"/>
          <w:szCs w:val="23"/>
        </w:rPr>
        <w:t xml:space="preserve"> PREDICT</w:t>
      </w:r>
      <w:r w:rsidR="00AE5820" w:rsidRPr="00C822E1">
        <w:rPr>
          <w:rFonts w:ascii="Calibri" w:hAnsi="Calibri"/>
          <w:sz w:val="23"/>
          <w:szCs w:val="23"/>
        </w:rPr>
        <w:t>”</w:t>
      </w:r>
      <w:r w:rsidR="00857E94" w:rsidRPr="00C822E1">
        <w:rPr>
          <w:rFonts w:ascii="Calibri" w:hAnsi="Calibri"/>
          <w:sz w:val="23"/>
          <w:szCs w:val="23"/>
        </w:rPr>
        <w:t xml:space="preserve">  </w:t>
      </w:r>
    </w:p>
    <w:p w14:paraId="76CDE345" w14:textId="5394CD12" w:rsidR="00865E72" w:rsidRDefault="006F58F5" w:rsidP="00695C96">
      <w:pPr>
        <w:spacing w:after="0" w:line="240" w:lineRule="auto"/>
        <w:rPr>
          <w:rFonts w:ascii="Calibri" w:hAnsi="Calibri" w:cs="Arial"/>
          <w:sz w:val="23"/>
          <w:szCs w:val="23"/>
        </w:rPr>
      </w:pPr>
      <w:r w:rsidRPr="00C822E1">
        <w:rPr>
          <w:rFonts w:ascii="Calibri" w:hAnsi="Calibri" w:cs="Arial"/>
          <w:sz w:val="23"/>
          <w:szCs w:val="23"/>
        </w:rPr>
        <w:t>10/01/09 - 09/30/2014</w:t>
      </w:r>
    </w:p>
    <w:p w14:paraId="0E8C17D0" w14:textId="111F6D7A" w:rsidR="00865E72" w:rsidRPr="00865E72" w:rsidRDefault="00865E72" w:rsidP="00695C96">
      <w:pPr>
        <w:spacing w:after="0" w:line="240" w:lineRule="auto"/>
        <w:rPr>
          <w:rFonts w:ascii="Calibri" w:hAnsi="Calibri" w:cs="Arial"/>
          <w:sz w:val="23"/>
          <w:szCs w:val="23"/>
        </w:rPr>
      </w:pPr>
      <w:r w:rsidRPr="00C822E1">
        <w:rPr>
          <w:rFonts w:ascii="Calibri" w:hAnsi="Calibri"/>
          <w:sz w:val="23"/>
          <w:szCs w:val="23"/>
        </w:rPr>
        <w:t>$17.5 million</w:t>
      </w:r>
      <w:r w:rsidR="001C4E3F">
        <w:rPr>
          <w:rFonts w:ascii="Calibri" w:hAnsi="Calibri" w:cs="Arial"/>
          <w:sz w:val="23"/>
          <w:szCs w:val="23"/>
        </w:rPr>
        <w:t xml:space="preserve"> (</w:t>
      </w:r>
      <w:proofErr w:type="spellStart"/>
      <w:r w:rsidR="001C4E3F">
        <w:rPr>
          <w:rFonts w:ascii="Calibri" w:hAnsi="Calibri" w:cs="Arial"/>
          <w:sz w:val="23"/>
          <w:szCs w:val="23"/>
        </w:rPr>
        <w:t>subaward</w:t>
      </w:r>
      <w:proofErr w:type="spellEnd"/>
      <w:r w:rsidR="001C4E3F">
        <w:rPr>
          <w:rFonts w:ascii="Calibri" w:hAnsi="Calibri" w:cs="Arial"/>
          <w:sz w:val="23"/>
          <w:szCs w:val="23"/>
        </w:rPr>
        <w:t xml:space="preserve"> from UC Davis</w:t>
      </w:r>
      <w:r w:rsidR="004E2FE1">
        <w:rPr>
          <w:rFonts w:ascii="Calibri" w:hAnsi="Calibri" w:cs="Arial"/>
          <w:sz w:val="23"/>
          <w:szCs w:val="23"/>
        </w:rPr>
        <w:t>)</w:t>
      </w:r>
      <w:r w:rsidRPr="00C822E1">
        <w:rPr>
          <w:rFonts w:ascii="Calibri" w:hAnsi="Calibri" w:cs="Arial"/>
          <w:sz w:val="23"/>
          <w:szCs w:val="23"/>
        </w:rPr>
        <w:tab/>
      </w:r>
    </w:p>
    <w:p w14:paraId="51BED8FC" w14:textId="68DBB1EF" w:rsidR="00B04FF3" w:rsidRPr="00C822E1" w:rsidRDefault="00B04FF3" w:rsidP="00695C96">
      <w:pPr>
        <w:spacing w:after="0" w:line="240" w:lineRule="auto"/>
        <w:rPr>
          <w:rFonts w:ascii="Calibri" w:hAnsi="Calibri" w:cs="Arial"/>
          <w:sz w:val="23"/>
          <w:szCs w:val="23"/>
        </w:rPr>
      </w:pPr>
      <w:r w:rsidRPr="00C822E1">
        <w:rPr>
          <w:rFonts w:ascii="Calibri" w:hAnsi="Calibri" w:cs="Arial"/>
          <w:sz w:val="23"/>
          <w:szCs w:val="23"/>
        </w:rPr>
        <w:t>Oversaw and coordinated surveillance and modeling activities in twenty developing countries, provide leadership across the PREDICT program, and liaise with management teams of other EPT programs. The program has built a coalition of organizations, university scientists, foreign government agencies and laboratories to enhance capacity for surveillance of emerging human pathogens of wildlife origin, predictive modeling and information sharing for developing countries.</w:t>
      </w:r>
    </w:p>
    <w:p w14:paraId="57AD77FE" w14:textId="77777777" w:rsidR="003C61C3" w:rsidRPr="00C822E1" w:rsidRDefault="003C61C3" w:rsidP="00695C96">
      <w:pPr>
        <w:spacing w:after="0" w:line="240" w:lineRule="auto"/>
        <w:rPr>
          <w:rFonts w:ascii="Calibri" w:hAnsi="Calibri"/>
          <w:sz w:val="23"/>
          <w:szCs w:val="23"/>
        </w:rPr>
      </w:pPr>
    </w:p>
    <w:p w14:paraId="69651C04" w14:textId="5714D608" w:rsidR="005031DD" w:rsidRPr="00C822E1" w:rsidRDefault="00AE5820" w:rsidP="00695C96">
      <w:pPr>
        <w:spacing w:after="0" w:line="240" w:lineRule="auto"/>
        <w:rPr>
          <w:rFonts w:ascii="Calibri" w:hAnsi="Calibri"/>
          <w:sz w:val="23"/>
          <w:szCs w:val="23"/>
        </w:rPr>
      </w:pPr>
      <w:r w:rsidRPr="00C822E1">
        <w:rPr>
          <w:rFonts w:ascii="Calibri" w:hAnsi="Calibri"/>
          <w:sz w:val="23"/>
          <w:szCs w:val="23"/>
        </w:rPr>
        <w:t>USAID “Emerging Pandemic Threats PREDICT-</w:t>
      </w:r>
      <w:r w:rsidR="005031DD" w:rsidRPr="00C822E1">
        <w:rPr>
          <w:rFonts w:ascii="Calibri" w:hAnsi="Calibri"/>
          <w:sz w:val="23"/>
          <w:szCs w:val="23"/>
        </w:rPr>
        <w:t>2</w:t>
      </w:r>
      <w:r w:rsidRPr="00C822E1">
        <w:rPr>
          <w:rFonts w:ascii="Calibri" w:hAnsi="Calibri"/>
          <w:sz w:val="23"/>
          <w:szCs w:val="23"/>
        </w:rPr>
        <w:t>”</w:t>
      </w:r>
    </w:p>
    <w:p w14:paraId="34E123FD" w14:textId="78A7D9E5" w:rsidR="003C61C3" w:rsidRPr="00C822E1" w:rsidRDefault="0019395E" w:rsidP="00695C96">
      <w:pPr>
        <w:spacing w:after="0" w:line="240" w:lineRule="auto"/>
        <w:rPr>
          <w:rFonts w:ascii="Calibri" w:hAnsi="Calibri"/>
          <w:sz w:val="23"/>
          <w:szCs w:val="23"/>
        </w:rPr>
      </w:pPr>
      <w:r w:rsidRPr="00C822E1">
        <w:rPr>
          <w:rFonts w:ascii="Calibri" w:hAnsi="Calibri"/>
          <w:sz w:val="23"/>
          <w:szCs w:val="23"/>
        </w:rPr>
        <w:t>10/01/2014 – 09/30/2019</w:t>
      </w:r>
    </w:p>
    <w:p w14:paraId="79033A96" w14:textId="53EA3A5B" w:rsidR="00111854" w:rsidRDefault="004E2FE1" w:rsidP="00695C96">
      <w:pPr>
        <w:spacing w:after="0" w:line="240" w:lineRule="auto"/>
        <w:rPr>
          <w:rFonts w:ascii="Calibri" w:hAnsi="Calibri"/>
          <w:sz w:val="23"/>
          <w:szCs w:val="23"/>
        </w:rPr>
      </w:pPr>
      <w:r w:rsidRPr="001D5B71">
        <w:rPr>
          <w:rFonts w:ascii="Calibri" w:hAnsi="Calibri"/>
          <w:sz w:val="23"/>
          <w:szCs w:val="23"/>
        </w:rPr>
        <w:t>$100 million</w:t>
      </w:r>
      <w:r w:rsidR="00250207">
        <w:rPr>
          <w:rFonts w:ascii="Calibri" w:hAnsi="Calibri"/>
          <w:sz w:val="23"/>
          <w:szCs w:val="23"/>
        </w:rPr>
        <w:t xml:space="preserve"> total </w:t>
      </w:r>
      <w:r w:rsidR="00060104">
        <w:rPr>
          <w:rFonts w:ascii="Calibri" w:hAnsi="Calibri"/>
          <w:sz w:val="23"/>
          <w:szCs w:val="23"/>
        </w:rPr>
        <w:t xml:space="preserve">project </w:t>
      </w:r>
      <w:r w:rsidR="00250207">
        <w:rPr>
          <w:rFonts w:ascii="Calibri" w:hAnsi="Calibri"/>
          <w:sz w:val="23"/>
          <w:szCs w:val="23"/>
        </w:rPr>
        <w:t>award</w:t>
      </w:r>
      <w:r w:rsidR="00060104">
        <w:rPr>
          <w:rFonts w:ascii="Calibri" w:hAnsi="Calibri"/>
          <w:sz w:val="23"/>
          <w:szCs w:val="23"/>
        </w:rPr>
        <w:t xml:space="preserve"> (</w:t>
      </w:r>
      <w:r w:rsidR="00587565" w:rsidRPr="001D5B71">
        <w:rPr>
          <w:rFonts w:ascii="Calibri" w:hAnsi="Calibri"/>
          <w:sz w:val="23"/>
          <w:szCs w:val="23"/>
        </w:rPr>
        <w:t xml:space="preserve">sub-award </w:t>
      </w:r>
      <w:r w:rsidR="00451F6D">
        <w:rPr>
          <w:rFonts w:ascii="Calibri" w:hAnsi="Calibri"/>
          <w:sz w:val="23"/>
          <w:szCs w:val="23"/>
        </w:rPr>
        <w:t xml:space="preserve">amount </w:t>
      </w:r>
      <w:r w:rsidR="00587565" w:rsidRPr="001D5B71">
        <w:rPr>
          <w:rFonts w:ascii="Calibri" w:hAnsi="Calibri"/>
          <w:sz w:val="23"/>
          <w:szCs w:val="23"/>
        </w:rPr>
        <w:t>from UC Davis pending</w:t>
      </w:r>
      <w:r w:rsidR="00060104">
        <w:rPr>
          <w:rFonts w:ascii="Calibri" w:hAnsi="Calibri"/>
          <w:sz w:val="23"/>
          <w:szCs w:val="23"/>
        </w:rPr>
        <w:t>)</w:t>
      </w:r>
    </w:p>
    <w:p w14:paraId="2477EC86" w14:textId="5494005E" w:rsidR="00253687" w:rsidRDefault="003C3862" w:rsidP="00695C96">
      <w:pPr>
        <w:spacing w:after="0" w:line="240" w:lineRule="auto"/>
        <w:rPr>
          <w:rFonts w:ascii="Calibri" w:hAnsi="Calibri"/>
          <w:sz w:val="23"/>
          <w:szCs w:val="23"/>
          <w:highlight w:val="yellow"/>
        </w:rPr>
      </w:pPr>
      <w:r>
        <w:rPr>
          <w:rFonts w:ascii="Calibri" w:hAnsi="Calibri"/>
          <w:sz w:val="23"/>
          <w:szCs w:val="23"/>
        </w:rPr>
        <w:t>Building capacity for pathogen surveillance, r</w:t>
      </w:r>
      <w:r w:rsidR="00D27019">
        <w:rPr>
          <w:rFonts w:ascii="Calibri" w:hAnsi="Calibri"/>
          <w:sz w:val="23"/>
          <w:szCs w:val="23"/>
        </w:rPr>
        <w:t>isk characterization, modeling</w:t>
      </w:r>
      <w:r w:rsidR="00EA6C42">
        <w:rPr>
          <w:rFonts w:ascii="Calibri" w:hAnsi="Calibri"/>
          <w:sz w:val="23"/>
          <w:szCs w:val="23"/>
        </w:rPr>
        <w:t>, outbreak</w:t>
      </w:r>
      <w:r w:rsidR="00267385">
        <w:rPr>
          <w:rFonts w:ascii="Calibri" w:hAnsi="Calibri"/>
          <w:sz w:val="23"/>
          <w:szCs w:val="23"/>
        </w:rPr>
        <w:t xml:space="preserve"> response </w:t>
      </w:r>
      <w:r w:rsidR="0043421F">
        <w:rPr>
          <w:rFonts w:ascii="Calibri" w:hAnsi="Calibri"/>
          <w:sz w:val="23"/>
          <w:szCs w:val="23"/>
        </w:rPr>
        <w:t>and One Health acti</w:t>
      </w:r>
      <w:r w:rsidR="00BD2E24">
        <w:rPr>
          <w:rFonts w:ascii="Calibri" w:hAnsi="Calibri"/>
          <w:sz w:val="23"/>
          <w:szCs w:val="23"/>
        </w:rPr>
        <w:t>vities in developing countries that are hotspots for disease emergence.</w:t>
      </w:r>
    </w:p>
    <w:p w14:paraId="68BE1077" w14:textId="77777777" w:rsidR="00587565" w:rsidRPr="00C822E1" w:rsidRDefault="00587565" w:rsidP="00695C96">
      <w:pPr>
        <w:spacing w:after="0" w:line="240" w:lineRule="auto"/>
        <w:rPr>
          <w:rFonts w:ascii="Calibri" w:hAnsi="Calibri"/>
          <w:sz w:val="23"/>
          <w:szCs w:val="23"/>
          <w:highlight w:val="yellow"/>
        </w:rPr>
      </w:pPr>
    </w:p>
    <w:p w14:paraId="62322F42" w14:textId="3422FDC4" w:rsidR="00C67E92" w:rsidRPr="00C822E1" w:rsidRDefault="00F542BC" w:rsidP="00695C96">
      <w:pPr>
        <w:spacing w:after="0" w:line="240" w:lineRule="auto"/>
        <w:rPr>
          <w:rFonts w:ascii="Calibri" w:hAnsi="Calibri"/>
          <w:sz w:val="23"/>
          <w:szCs w:val="23"/>
        </w:rPr>
      </w:pPr>
      <w:r w:rsidRPr="00C822E1">
        <w:rPr>
          <w:rFonts w:ascii="Calibri" w:hAnsi="Calibri"/>
          <w:sz w:val="23"/>
          <w:szCs w:val="23"/>
        </w:rPr>
        <w:t xml:space="preserve">NIH </w:t>
      </w:r>
      <w:r w:rsidR="00240243" w:rsidRPr="00C822E1">
        <w:rPr>
          <w:rFonts w:ascii="Calibri" w:hAnsi="Calibri" w:cs="Times New Roman"/>
          <w:sz w:val="23"/>
          <w:szCs w:val="23"/>
        </w:rPr>
        <w:t>“</w:t>
      </w:r>
      <w:r w:rsidR="00C67E92" w:rsidRPr="00C822E1">
        <w:rPr>
          <w:rFonts w:ascii="Calibri" w:hAnsi="Calibri" w:cs="Times New Roman"/>
          <w:sz w:val="23"/>
          <w:szCs w:val="23"/>
        </w:rPr>
        <w:t>Understanding the Risk of Bat Coronavirus Emergence</w:t>
      </w:r>
      <w:r w:rsidR="00240243" w:rsidRPr="00C822E1">
        <w:rPr>
          <w:rFonts w:ascii="Calibri" w:hAnsi="Calibri" w:cs="Times New Roman"/>
          <w:sz w:val="23"/>
          <w:szCs w:val="23"/>
        </w:rPr>
        <w:t>”</w:t>
      </w:r>
    </w:p>
    <w:p w14:paraId="3CEC7E13" w14:textId="4AF2C32D" w:rsidR="003C61C3" w:rsidRPr="00C822E1" w:rsidRDefault="000408FB" w:rsidP="00695C96">
      <w:pPr>
        <w:spacing w:after="0" w:line="240" w:lineRule="auto"/>
        <w:rPr>
          <w:rFonts w:ascii="Calibri" w:hAnsi="Calibri"/>
          <w:sz w:val="23"/>
          <w:szCs w:val="23"/>
        </w:rPr>
      </w:pPr>
      <w:r w:rsidRPr="00C822E1">
        <w:rPr>
          <w:rFonts w:ascii="Calibri" w:hAnsi="Calibri"/>
          <w:sz w:val="23"/>
          <w:szCs w:val="23"/>
        </w:rPr>
        <w:t>06/01/2014 – 5/31/2019</w:t>
      </w:r>
    </w:p>
    <w:p w14:paraId="66E22642" w14:textId="0CE2970F" w:rsidR="00622493" w:rsidRDefault="004B267C" w:rsidP="00695C96">
      <w:pPr>
        <w:spacing w:after="0" w:line="240" w:lineRule="auto"/>
        <w:rPr>
          <w:rFonts w:ascii="Calibri" w:hAnsi="Calibri"/>
          <w:sz w:val="23"/>
          <w:szCs w:val="23"/>
        </w:rPr>
      </w:pPr>
      <w:r w:rsidRPr="00C822E1">
        <w:rPr>
          <w:rFonts w:ascii="Calibri" w:hAnsi="Calibri"/>
          <w:sz w:val="23"/>
          <w:szCs w:val="23"/>
        </w:rPr>
        <w:t>$</w:t>
      </w:r>
      <w:r w:rsidR="000A799C" w:rsidRPr="00C822E1">
        <w:rPr>
          <w:rFonts w:ascii="Calibri" w:hAnsi="Calibri"/>
          <w:sz w:val="23"/>
          <w:szCs w:val="23"/>
        </w:rPr>
        <w:t>3,086,735</w:t>
      </w:r>
    </w:p>
    <w:p w14:paraId="6BC9CF32" w14:textId="2B8069F7" w:rsidR="00622493" w:rsidRPr="00C822E1" w:rsidRDefault="008267B7" w:rsidP="00695C96">
      <w:pPr>
        <w:spacing w:after="0" w:line="240" w:lineRule="auto"/>
        <w:rPr>
          <w:rFonts w:ascii="Calibri" w:hAnsi="Calibri"/>
          <w:sz w:val="23"/>
          <w:szCs w:val="23"/>
        </w:rPr>
      </w:pPr>
      <w:r>
        <w:rPr>
          <w:rFonts w:ascii="Calibri" w:hAnsi="Calibri"/>
          <w:sz w:val="23"/>
          <w:szCs w:val="23"/>
        </w:rPr>
        <w:t>Pathogen s</w:t>
      </w:r>
      <w:r w:rsidR="00622493">
        <w:rPr>
          <w:rFonts w:ascii="Calibri" w:hAnsi="Calibri"/>
          <w:sz w:val="23"/>
          <w:szCs w:val="23"/>
        </w:rPr>
        <w:t>urveillance</w:t>
      </w:r>
      <w:r w:rsidR="00045095">
        <w:rPr>
          <w:rFonts w:ascii="Calibri" w:hAnsi="Calibri"/>
          <w:sz w:val="23"/>
          <w:szCs w:val="23"/>
        </w:rPr>
        <w:t xml:space="preserve">, molecular analysis, and risk characterization for Coronavirus in </w:t>
      </w:r>
      <w:r w:rsidR="00622493">
        <w:rPr>
          <w:rFonts w:ascii="Calibri" w:hAnsi="Calibri"/>
          <w:sz w:val="23"/>
          <w:szCs w:val="23"/>
        </w:rPr>
        <w:t xml:space="preserve">bats in China. </w:t>
      </w:r>
    </w:p>
    <w:p w14:paraId="0C8591C1" w14:textId="77777777" w:rsidR="004B267C" w:rsidRPr="00C822E1" w:rsidRDefault="004B267C" w:rsidP="00695C96">
      <w:pPr>
        <w:spacing w:after="0" w:line="240" w:lineRule="auto"/>
        <w:rPr>
          <w:rFonts w:ascii="Calibri" w:hAnsi="Calibri"/>
          <w:sz w:val="23"/>
          <w:szCs w:val="23"/>
          <w:highlight w:val="yellow"/>
        </w:rPr>
      </w:pPr>
    </w:p>
    <w:p w14:paraId="7C8C949D" w14:textId="57FC2EFF" w:rsidR="00A2445C" w:rsidRPr="00BF70DA" w:rsidRDefault="002B1514" w:rsidP="00695C96">
      <w:pPr>
        <w:spacing w:after="0" w:line="240" w:lineRule="auto"/>
        <w:rPr>
          <w:rFonts w:ascii="Calibri" w:hAnsi="Calibri"/>
          <w:sz w:val="23"/>
          <w:szCs w:val="23"/>
        </w:rPr>
      </w:pPr>
      <w:r w:rsidRPr="00BF70DA">
        <w:rPr>
          <w:rFonts w:ascii="Calibri" w:hAnsi="Calibri"/>
          <w:sz w:val="23"/>
          <w:szCs w:val="23"/>
        </w:rPr>
        <w:t xml:space="preserve">NSF </w:t>
      </w:r>
      <w:r w:rsidR="009917A5" w:rsidRPr="00BF70DA">
        <w:rPr>
          <w:rFonts w:ascii="Calibri" w:hAnsi="Calibri" w:cs="Times New Roman"/>
          <w:sz w:val="23"/>
          <w:szCs w:val="23"/>
        </w:rPr>
        <w:t>“</w:t>
      </w:r>
      <w:r w:rsidR="00A2445C" w:rsidRPr="00BF70DA">
        <w:rPr>
          <w:rFonts w:ascii="Calibri" w:hAnsi="Calibri" w:cs="Times New Roman"/>
          <w:sz w:val="23"/>
          <w:szCs w:val="23"/>
        </w:rPr>
        <w:t>Modeling Anthropogenic Effects In the Spread of Infectious Diseases</w:t>
      </w:r>
      <w:r w:rsidR="009917A5" w:rsidRPr="00BF70DA">
        <w:rPr>
          <w:rFonts w:ascii="Calibri" w:hAnsi="Calibri" w:cs="Times New Roman"/>
          <w:sz w:val="23"/>
          <w:szCs w:val="23"/>
        </w:rPr>
        <w:t>”</w:t>
      </w:r>
    </w:p>
    <w:p w14:paraId="6BC234C3" w14:textId="696FDBDF" w:rsidR="00240243" w:rsidRPr="00BF70DA" w:rsidRDefault="00240243" w:rsidP="00695C96">
      <w:pPr>
        <w:spacing w:after="0" w:line="240" w:lineRule="auto"/>
        <w:rPr>
          <w:rFonts w:ascii="Calibri" w:hAnsi="Calibri"/>
          <w:sz w:val="23"/>
          <w:szCs w:val="23"/>
        </w:rPr>
      </w:pPr>
      <w:r w:rsidRPr="00BF70DA">
        <w:rPr>
          <w:rFonts w:ascii="Calibri" w:hAnsi="Calibri" w:cs="Times New Roman"/>
          <w:sz w:val="23"/>
          <w:szCs w:val="23"/>
        </w:rPr>
        <w:t>9/15/2011 – 6/30/2015</w:t>
      </w:r>
    </w:p>
    <w:p w14:paraId="3C2E7D26" w14:textId="2829EF2A" w:rsidR="003C61C3" w:rsidRDefault="003D06B6" w:rsidP="00695C96">
      <w:pPr>
        <w:spacing w:after="0" w:line="240" w:lineRule="auto"/>
        <w:rPr>
          <w:rFonts w:ascii="Calibri" w:hAnsi="Calibri" w:cs="Times New Roman"/>
          <w:sz w:val="23"/>
          <w:szCs w:val="23"/>
        </w:rPr>
      </w:pPr>
      <w:r w:rsidRPr="00BF70DA">
        <w:rPr>
          <w:rFonts w:ascii="Calibri" w:hAnsi="Calibri"/>
          <w:sz w:val="23"/>
          <w:szCs w:val="23"/>
        </w:rPr>
        <w:t>$280,206</w:t>
      </w:r>
      <w:r w:rsidR="00DD71B8">
        <w:rPr>
          <w:rFonts w:ascii="Calibri" w:hAnsi="Calibri"/>
          <w:sz w:val="23"/>
          <w:szCs w:val="23"/>
        </w:rPr>
        <w:t xml:space="preserve"> </w:t>
      </w:r>
      <w:r w:rsidR="00DD71B8" w:rsidRPr="00BF70DA">
        <w:rPr>
          <w:rFonts w:ascii="Calibri" w:hAnsi="Calibri"/>
          <w:sz w:val="23"/>
          <w:szCs w:val="23"/>
        </w:rPr>
        <w:t>(</w:t>
      </w:r>
      <w:proofErr w:type="spellStart"/>
      <w:r w:rsidR="00DD71B8" w:rsidRPr="00BF70DA">
        <w:rPr>
          <w:rFonts w:ascii="Calibri" w:hAnsi="Calibri"/>
          <w:sz w:val="23"/>
          <w:szCs w:val="23"/>
        </w:rPr>
        <w:t>subaward</w:t>
      </w:r>
      <w:proofErr w:type="spellEnd"/>
      <w:r w:rsidR="00DD71B8" w:rsidRPr="00BF70DA">
        <w:rPr>
          <w:rFonts w:ascii="Calibri" w:hAnsi="Calibri"/>
          <w:sz w:val="23"/>
          <w:szCs w:val="23"/>
        </w:rPr>
        <w:t xml:space="preserve"> from </w:t>
      </w:r>
      <w:r w:rsidR="00DD71B8" w:rsidRPr="00BF70DA">
        <w:rPr>
          <w:rFonts w:ascii="Calibri" w:hAnsi="Calibri" w:cs="Times New Roman"/>
          <w:sz w:val="23"/>
          <w:szCs w:val="23"/>
        </w:rPr>
        <w:t>Arizona State University)</w:t>
      </w:r>
    </w:p>
    <w:p w14:paraId="22EC17C0" w14:textId="01316406" w:rsidR="008338C5" w:rsidRPr="00C822E1" w:rsidRDefault="00C90B39" w:rsidP="00695C96">
      <w:pPr>
        <w:spacing w:after="0" w:line="240" w:lineRule="auto"/>
        <w:rPr>
          <w:rFonts w:ascii="Calibri" w:hAnsi="Calibri"/>
          <w:sz w:val="23"/>
          <w:szCs w:val="23"/>
        </w:rPr>
      </w:pPr>
      <w:proofErr w:type="gramStart"/>
      <w:r>
        <w:rPr>
          <w:rFonts w:ascii="Calibri" w:hAnsi="Calibri" w:cs="Times New Roman"/>
          <w:sz w:val="23"/>
          <w:szCs w:val="23"/>
        </w:rPr>
        <w:lastRenderedPageBreak/>
        <w:t>Economic analyses for</w:t>
      </w:r>
      <w:r w:rsidR="008338C5">
        <w:rPr>
          <w:rFonts w:ascii="Calibri" w:hAnsi="Calibri" w:cs="Times New Roman"/>
          <w:sz w:val="23"/>
          <w:szCs w:val="23"/>
        </w:rPr>
        <w:t xml:space="preserve"> EID threats and intervention</w:t>
      </w:r>
      <w:r w:rsidR="009021EB">
        <w:rPr>
          <w:rFonts w:ascii="Calibri" w:hAnsi="Calibri" w:cs="Times New Roman"/>
          <w:sz w:val="23"/>
          <w:szCs w:val="23"/>
        </w:rPr>
        <w:t xml:space="preserve"> scenarios</w:t>
      </w:r>
      <w:r w:rsidR="00225326">
        <w:rPr>
          <w:rFonts w:ascii="Calibri" w:hAnsi="Calibri" w:cs="Times New Roman"/>
          <w:sz w:val="23"/>
          <w:szCs w:val="23"/>
        </w:rPr>
        <w:t>.</w:t>
      </w:r>
      <w:proofErr w:type="gramEnd"/>
      <w:r w:rsidR="00225326">
        <w:rPr>
          <w:rFonts w:ascii="Calibri" w:hAnsi="Calibri" w:cs="Times New Roman"/>
          <w:sz w:val="23"/>
          <w:szCs w:val="23"/>
        </w:rPr>
        <w:t xml:space="preserve"> </w:t>
      </w:r>
    </w:p>
    <w:p w14:paraId="1E7B2498" w14:textId="77777777" w:rsidR="003D06B6" w:rsidRPr="00C822E1" w:rsidRDefault="003D06B6" w:rsidP="00695C96">
      <w:pPr>
        <w:spacing w:after="0" w:line="240" w:lineRule="auto"/>
        <w:rPr>
          <w:rFonts w:ascii="Calibri" w:hAnsi="Calibri"/>
          <w:sz w:val="23"/>
          <w:szCs w:val="23"/>
        </w:rPr>
      </w:pPr>
    </w:p>
    <w:p w14:paraId="2317B378" w14:textId="42C6F4D1" w:rsidR="00415E76" w:rsidRPr="00C822E1" w:rsidRDefault="005311C5" w:rsidP="00695C96">
      <w:pPr>
        <w:spacing w:after="0" w:line="240" w:lineRule="auto"/>
        <w:rPr>
          <w:rFonts w:ascii="Calibri" w:hAnsi="Calibri"/>
          <w:sz w:val="23"/>
          <w:szCs w:val="23"/>
        </w:rPr>
      </w:pPr>
      <w:r w:rsidRPr="00C822E1">
        <w:rPr>
          <w:rFonts w:ascii="Calibri" w:hAnsi="Calibri"/>
          <w:sz w:val="23"/>
          <w:szCs w:val="23"/>
        </w:rPr>
        <w:t>Centers for Disease Control and Prevention:</w:t>
      </w:r>
      <w:r w:rsidR="005031DD" w:rsidRPr="00C822E1">
        <w:rPr>
          <w:rFonts w:ascii="Calibri" w:hAnsi="Calibri"/>
          <w:sz w:val="23"/>
          <w:szCs w:val="23"/>
        </w:rPr>
        <w:t xml:space="preserve"> </w:t>
      </w:r>
      <w:r w:rsidR="00D3545D" w:rsidRPr="00C822E1">
        <w:rPr>
          <w:rFonts w:ascii="Calibri" w:hAnsi="Calibri"/>
          <w:sz w:val="23"/>
          <w:szCs w:val="23"/>
        </w:rPr>
        <w:t xml:space="preserve">“Identifying public health risks associated with introduction of </w:t>
      </w:r>
      <w:proofErr w:type="spellStart"/>
      <w:r w:rsidR="00D3545D" w:rsidRPr="00C822E1">
        <w:rPr>
          <w:rFonts w:ascii="Calibri" w:hAnsi="Calibri"/>
          <w:sz w:val="23"/>
          <w:szCs w:val="23"/>
        </w:rPr>
        <w:t>zoonoses</w:t>
      </w:r>
      <w:proofErr w:type="spellEnd"/>
      <w:r w:rsidR="00D3545D" w:rsidRPr="00C822E1">
        <w:rPr>
          <w:rFonts w:ascii="Calibri" w:hAnsi="Calibri"/>
          <w:sz w:val="23"/>
          <w:szCs w:val="23"/>
        </w:rPr>
        <w:t xml:space="preserve"> through smuggled wildlife products</w:t>
      </w:r>
      <w:r w:rsidR="00D3545D" w:rsidRPr="00C822E1">
        <w:rPr>
          <w:rFonts w:ascii="Calibri" w:hAnsi="Calibri"/>
          <w:b/>
          <w:bCs/>
          <w:i/>
          <w:iCs/>
          <w:sz w:val="23"/>
          <w:szCs w:val="23"/>
        </w:rPr>
        <w:br/>
      </w:r>
      <w:r w:rsidR="00415E76" w:rsidRPr="00C822E1">
        <w:rPr>
          <w:rFonts w:ascii="Calibri" w:hAnsi="Calibri"/>
          <w:sz w:val="23"/>
          <w:szCs w:val="23"/>
        </w:rPr>
        <w:t>09/2011 – 04/2014</w:t>
      </w:r>
    </w:p>
    <w:p w14:paraId="041709EA" w14:textId="2B0FD0CF" w:rsidR="005311C5" w:rsidRPr="00C822E1" w:rsidRDefault="005B3079" w:rsidP="00695C96">
      <w:pPr>
        <w:spacing w:after="0" w:line="240" w:lineRule="auto"/>
        <w:rPr>
          <w:rFonts w:ascii="Calibri" w:hAnsi="Calibri"/>
          <w:sz w:val="23"/>
          <w:szCs w:val="23"/>
        </w:rPr>
      </w:pPr>
      <w:r w:rsidRPr="00C822E1">
        <w:rPr>
          <w:rFonts w:ascii="Calibri" w:hAnsi="Calibri"/>
          <w:sz w:val="23"/>
          <w:szCs w:val="23"/>
        </w:rPr>
        <w:t>$104,740</w:t>
      </w:r>
    </w:p>
    <w:p w14:paraId="3981FC8B" w14:textId="7EF2A644" w:rsidR="00FA7387" w:rsidRDefault="00FA7387" w:rsidP="00695C96">
      <w:pPr>
        <w:spacing w:after="0" w:line="240" w:lineRule="auto"/>
        <w:rPr>
          <w:rFonts w:ascii="Calibri" w:hAnsi="Calibri"/>
          <w:sz w:val="23"/>
          <w:szCs w:val="23"/>
        </w:rPr>
      </w:pPr>
      <w:r w:rsidRPr="00C822E1">
        <w:rPr>
          <w:rFonts w:ascii="Calibri" w:hAnsi="Calibri"/>
          <w:sz w:val="23"/>
          <w:szCs w:val="23"/>
        </w:rPr>
        <w:t>Viral pathogen discovery in confiscated</w:t>
      </w:r>
      <w:r w:rsidR="007F0794">
        <w:rPr>
          <w:rFonts w:ascii="Calibri" w:hAnsi="Calibri"/>
          <w:sz w:val="23"/>
          <w:szCs w:val="23"/>
        </w:rPr>
        <w:t xml:space="preserve"> </w:t>
      </w:r>
      <w:proofErr w:type="spellStart"/>
      <w:r w:rsidR="007F0794">
        <w:rPr>
          <w:rFonts w:ascii="Calibri" w:hAnsi="Calibri"/>
          <w:sz w:val="23"/>
          <w:szCs w:val="23"/>
        </w:rPr>
        <w:t>bushmeat</w:t>
      </w:r>
      <w:proofErr w:type="spellEnd"/>
      <w:r w:rsidRPr="00C822E1">
        <w:rPr>
          <w:rFonts w:ascii="Calibri" w:hAnsi="Calibri"/>
          <w:sz w:val="23"/>
          <w:szCs w:val="23"/>
        </w:rPr>
        <w:t xml:space="preserve"> imported </w:t>
      </w:r>
      <w:r w:rsidR="007F0794">
        <w:rPr>
          <w:rFonts w:ascii="Calibri" w:hAnsi="Calibri"/>
          <w:sz w:val="23"/>
          <w:szCs w:val="23"/>
        </w:rPr>
        <w:t>into the U.S</w:t>
      </w:r>
      <w:r w:rsidR="00C401C4" w:rsidRPr="00C822E1">
        <w:rPr>
          <w:rFonts w:ascii="Calibri" w:hAnsi="Calibri"/>
          <w:sz w:val="23"/>
          <w:szCs w:val="23"/>
        </w:rPr>
        <w:t>.</w:t>
      </w:r>
    </w:p>
    <w:p w14:paraId="1FB5E179" w14:textId="77777777" w:rsidR="00343897" w:rsidRDefault="00343897" w:rsidP="00695C96">
      <w:pPr>
        <w:spacing w:after="0" w:line="240" w:lineRule="auto"/>
        <w:rPr>
          <w:rFonts w:ascii="Calibri" w:hAnsi="Calibri"/>
          <w:sz w:val="23"/>
          <w:szCs w:val="23"/>
        </w:rPr>
      </w:pPr>
    </w:p>
    <w:p w14:paraId="54BFC9EF" w14:textId="0440F80C" w:rsidR="00343897" w:rsidRDefault="00343897" w:rsidP="00695C96">
      <w:pPr>
        <w:spacing w:after="0" w:line="240" w:lineRule="auto"/>
        <w:rPr>
          <w:rFonts w:ascii="Calibri" w:hAnsi="Calibri"/>
          <w:sz w:val="23"/>
          <w:szCs w:val="23"/>
        </w:rPr>
      </w:pPr>
      <w:r>
        <w:rPr>
          <w:rFonts w:ascii="Calibri" w:hAnsi="Calibri"/>
          <w:sz w:val="23"/>
          <w:szCs w:val="23"/>
        </w:rPr>
        <w:t>Defense Threat Reduction Agency – “Global Rapid Identifications of Threats (GRITS)”</w:t>
      </w:r>
    </w:p>
    <w:p w14:paraId="1F978F70" w14:textId="5CB2AEFD" w:rsidR="00343897" w:rsidRDefault="00343897" w:rsidP="00695C96">
      <w:pPr>
        <w:spacing w:after="0" w:line="240" w:lineRule="auto"/>
        <w:rPr>
          <w:rFonts w:ascii="Calibri" w:hAnsi="Calibri"/>
          <w:sz w:val="23"/>
          <w:szCs w:val="23"/>
        </w:rPr>
      </w:pPr>
      <w:r>
        <w:rPr>
          <w:rFonts w:ascii="Calibri" w:hAnsi="Calibri"/>
          <w:sz w:val="23"/>
          <w:szCs w:val="23"/>
        </w:rPr>
        <w:t>04/2015-04-2017</w:t>
      </w:r>
    </w:p>
    <w:p w14:paraId="4B789A28" w14:textId="195AA818" w:rsidR="00343897" w:rsidRDefault="00343897" w:rsidP="00695C96">
      <w:pPr>
        <w:spacing w:after="0" w:line="240" w:lineRule="auto"/>
        <w:rPr>
          <w:rFonts w:ascii="Calibri" w:hAnsi="Calibri"/>
          <w:sz w:val="23"/>
          <w:szCs w:val="23"/>
        </w:rPr>
      </w:pPr>
      <w:r>
        <w:rPr>
          <w:rFonts w:ascii="Calibri" w:hAnsi="Calibri"/>
          <w:sz w:val="23"/>
          <w:szCs w:val="23"/>
        </w:rPr>
        <w:t>$4,600,000</w:t>
      </w:r>
    </w:p>
    <w:p w14:paraId="52457D1C" w14:textId="4EDD8DD0" w:rsidR="00343897" w:rsidRDefault="00343897" w:rsidP="00343897">
      <w:pPr>
        <w:spacing w:after="0" w:line="240" w:lineRule="auto"/>
        <w:rPr>
          <w:rFonts w:ascii="Calibri" w:hAnsi="Calibri" w:cs="Times New Roman"/>
          <w:sz w:val="23"/>
          <w:szCs w:val="23"/>
        </w:rPr>
      </w:pPr>
      <w:proofErr w:type="gramStart"/>
      <w:r>
        <w:rPr>
          <w:rFonts w:ascii="Calibri" w:hAnsi="Calibri" w:cs="Times New Roman"/>
          <w:sz w:val="23"/>
          <w:szCs w:val="23"/>
        </w:rPr>
        <w:t>Developed cloud-based platform for early detection of outbreaks.</w:t>
      </w:r>
      <w:proofErr w:type="gramEnd"/>
      <w:r>
        <w:rPr>
          <w:rFonts w:ascii="Calibri" w:hAnsi="Calibri" w:cs="Times New Roman"/>
          <w:sz w:val="23"/>
          <w:szCs w:val="23"/>
        </w:rPr>
        <w:t xml:space="preserve"> </w:t>
      </w:r>
      <w:proofErr w:type="gramStart"/>
      <w:r>
        <w:rPr>
          <w:rFonts w:ascii="Calibri" w:hAnsi="Calibri" w:cs="Times New Roman"/>
          <w:sz w:val="23"/>
          <w:szCs w:val="23"/>
        </w:rPr>
        <w:t xml:space="preserve">Technical lead, in collaboration with partners including Kitware, Sandia National Laboratories, </w:t>
      </w:r>
      <w:proofErr w:type="spellStart"/>
      <w:r>
        <w:rPr>
          <w:rFonts w:ascii="Calibri" w:hAnsi="Calibri" w:cs="Times New Roman"/>
          <w:sz w:val="23"/>
          <w:szCs w:val="23"/>
        </w:rPr>
        <w:t>ProMed</w:t>
      </w:r>
      <w:proofErr w:type="spellEnd"/>
      <w:r>
        <w:rPr>
          <w:rFonts w:ascii="Calibri" w:hAnsi="Calibri" w:cs="Times New Roman"/>
          <w:sz w:val="23"/>
          <w:szCs w:val="23"/>
        </w:rPr>
        <w:t xml:space="preserve"> Mail, </w:t>
      </w:r>
      <w:proofErr w:type="spellStart"/>
      <w:r>
        <w:rPr>
          <w:rFonts w:ascii="Calibri" w:hAnsi="Calibri" w:cs="Times New Roman"/>
          <w:sz w:val="23"/>
          <w:szCs w:val="23"/>
        </w:rPr>
        <w:t>Veracient</w:t>
      </w:r>
      <w:proofErr w:type="spellEnd"/>
      <w:r>
        <w:rPr>
          <w:rFonts w:ascii="Calibri" w:hAnsi="Calibri" w:cs="Times New Roman"/>
          <w:sz w:val="23"/>
          <w:szCs w:val="23"/>
        </w:rPr>
        <w:t>, and Amazon Web Services.</w:t>
      </w:r>
      <w:proofErr w:type="gramEnd"/>
      <w:r>
        <w:rPr>
          <w:rFonts w:ascii="Calibri" w:hAnsi="Calibri" w:cs="Times New Roman"/>
          <w:sz w:val="23"/>
          <w:szCs w:val="23"/>
        </w:rPr>
        <w:t xml:space="preserve"> </w:t>
      </w:r>
    </w:p>
    <w:p w14:paraId="0CE1ECC8" w14:textId="77777777" w:rsidR="00343897" w:rsidRPr="003D6578" w:rsidRDefault="00343897" w:rsidP="00695C96">
      <w:pPr>
        <w:spacing w:after="0" w:line="240" w:lineRule="auto"/>
        <w:rPr>
          <w:rFonts w:ascii="Calibri" w:hAnsi="Calibri"/>
          <w:b/>
          <w:bCs/>
          <w:i/>
          <w:iCs/>
        </w:rPr>
      </w:pPr>
    </w:p>
    <w:sectPr w:rsidR="00343897" w:rsidRPr="003D6578" w:rsidSect="00F450AE">
      <w:headerReference w:type="default" r:id="rId9"/>
      <w:footerReference w:type="default" r:id="rId10"/>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3CF57" w14:textId="77777777" w:rsidR="003D6578" w:rsidRDefault="003D6578" w:rsidP="009D75E2">
      <w:pPr>
        <w:spacing w:after="0" w:line="240" w:lineRule="auto"/>
      </w:pPr>
      <w:r>
        <w:separator/>
      </w:r>
    </w:p>
  </w:endnote>
  <w:endnote w:type="continuationSeparator" w:id="0">
    <w:p w14:paraId="68B2968E" w14:textId="77777777" w:rsidR="003D6578" w:rsidRDefault="003D6578" w:rsidP="009D7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944060"/>
      <w:docPartObj>
        <w:docPartGallery w:val="Page Numbers (Bottom of Page)"/>
        <w:docPartUnique/>
      </w:docPartObj>
    </w:sdtPr>
    <w:sdtEndPr>
      <w:rPr>
        <w:noProof/>
      </w:rPr>
    </w:sdtEndPr>
    <w:sdtContent>
      <w:p w14:paraId="4E9B3553" w14:textId="77777777" w:rsidR="003D6578" w:rsidRDefault="003D6578">
        <w:pPr>
          <w:pStyle w:val="Footer"/>
          <w:jc w:val="center"/>
        </w:pPr>
        <w:r>
          <w:fldChar w:fldCharType="begin"/>
        </w:r>
        <w:r>
          <w:instrText xml:space="preserve"> PAGE   \* MERGEFORMAT </w:instrText>
        </w:r>
        <w:r>
          <w:fldChar w:fldCharType="separate"/>
        </w:r>
        <w:r w:rsidR="002D5978">
          <w:rPr>
            <w:noProof/>
          </w:rPr>
          <w:t>1</w:t>
        </w:r>
        <w:r>
          <w:rPr>
            <w:noProof/>
          </w:rPr>
          <w:fldChar w:fldCharType="end"/>
        </w:r>
      </w:p>
    </w:sdtContent>
  </w:sdt>
  <w:p w14:paraId="33598D51" w14:textId="77777777" w:rsidR="003D6578" w:rsidRDefault="003D657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C4BD0F" w14:textId="77777777" w:rsidR="003D6578" w:rsidRDefault="003D6578" w:rsidP="009D75E2">
      <w:pPr>
        <w:spacing w:after="0" w:line="240" w:lineRule="auto"/>
      </w:pPr>
      <w:r>
        <w:separator/>
      </w:r>
    </w:p>
  </w:footnote>
  <w:footnote w:type="continuationSeparator" w:id="0">
    <w:p w14:paraId="2033E136" w14:textId="77777777" w:rsidR="003D6578" w:rsidRDefault="003D6578" w:rsidP="009D75E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F1A09" w14:textId="77777777" w:rsidR="003D6578" w:rsidRDefault="002D5978" w:rsidP="00803174">
    <w:pPr>
      <w:pStyle w:val="Header"/>
    </w:pPr>
    <w:hyperlink r:id="rId1" w:history="1">
      <w:r w:rsidR="003D6578" w:rsidRPr="00DD610D">
        <w:rPr>
          <w:rStyle w:val="Hyperlink"/>
        </w:rPr>
        <w:t>joseph.p.dudley@leidos.com</w:t>
      </w:r>
    </w:hyperlink>
    <w:r w:rsidR="003D6578">
      <w:ptab w:relativeTo="margin" w:alignment="center" w:leader="none"/>
    </w:r>
    <w:r w:rsidR="003D6578">
      <w:t xml:space="preserve">LEIDOS </w:t>
    </w:r>
  </w:p>
  <w:p w14:paraId="46E67BAC" w14:textId="77777777" w:rsidR="003D6578" w:rsidRDefault="003D6578" w:rsidP="00803174">
    <w:pPr>
      <w:pStyle w:val="Header"/>
    </w:pPr>
    <w:r>
      <w:t>RESTRICTED DISTRIBUTION</w:t>
    </w:r>
    <w:r>
      <w:tab/>
      <w:t xml:space="preserve">                                                                                       Proprietary</w:t>
    </w:r>
    <w:r>
      <w:ptab w:relativeTo="margin" w:alignment="right" w:leader="none"/>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380C"/>
    <w:multiLevelType w:val="hybridMultilevel"/>
    <w:tmpl w:val="ECA4F3D0"/>
    <w:lvl w:ilvl="0" w:tplc="65A04AC4">
      <w:numFmt w:val="bullet"/>
      <w:lvlText w:val=""/>
      <w:lvlJc w:val="left"/>
      <w:pPr>
        <w:ind w:left="720" w:hanging="360"/>
      </w:pPr>
      <w:rPr>
        <w:rFonts w:ascii="Symbol" w:eastAsiaTheme="minorEastAsia"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D1526D"/>
    <w:multiLevelType w:val="hybridMultilevel"/>
    <w:tmpl w:val="AE709F94"/>
    <w:lvl w:ilvl="0" w:tplc="65A04AC4">
      <w:numFmt w:val="bullet"/>
      <w:lvlText w:val=""/>
      <w:lvlJc w:val="left"/>
      <w:pPr>
        <w:ind w:left="720" w:hanging="360"/>
      </w:pPr>
      <w:rPr>
        <w:rFonts w:ascii="Symbol" w:eastAsiaTheme="minorEastAsia"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E96"/>
    <w:multiLevelType w:val="hybridMultilevel"/>
    <w:tmpl w:val="7262A07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
    <w:nsid w:val="313F74D7"/>
    <w:multiLevelType w:val="hybridMultilevel"/>
    <w:tmpl w:val="1B6E8E7A"/>
    <w:lvl w:ilvl="0" w:tplc="BCE65F58">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83452A7"/>
    <w:multiLevelType w:val="hybridMultilevel"/>
    <w:tmpl w:val="D6589774"/>
    <w:lvl w:ilvl="0" w:tplc="65A04AC4">
      <w:numFmt w:val="bullet"/>
      <w:lvlText w:val=""/>
      <w:lvlJc w:val="left"/>
      <w:pPr>
        <w:ind w:left="720" w:hanging="360"/>
      </w:pPr>
      <w:rPr>
        <w:rFonts w:ascii="Symbol" w:eastAsiaTheme="minorEastAsia"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562141"/>
    <w:multiLevelType w:val="hybridMultilevel"/>
    <w:tmpl w:val="0964B558"/>
    <w:lvl w:ilvl="0" w:tplc="65A04AC4">
      <w:numFmt w:val="bullet"/>
      <w:lvlText w:val=""/>
      <w:lvlJc w:val="left"/>
      <w:pPr>
        <w:ind w:left="828" w:hanging="360"/>
      </w:pPr>
      <w:rPr>
        <w:rFonts w:ascii="Symbol" w:eastAsiaTheme="minorEastAsia" w:hAnsi="Symbol" w:cstheme="minorBidi" w:hint="default"/>
        <w:b w:val="0"/>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6">
    <w:nsid w:val="4A822261"/>
    <w:multiLevelType w:val="hybridMultilevel"/>
    <w:tmpl w:val="3B58FF22"/>
    <w:lvl w:ilvl="0" w:tplc="65A04AC4">
      <w:numFmt w:val="bullet"/>
      <w:lvlText w:val=""/>
      <w:lvlJc w:val="left"/>
      <w:pPr>
        <w:ind w:left="720" w:hanging="360"/>
      </w:pPr>
      <w:rPr>
        <w:rFonts w:ascii="Symbol" w:eastAsiaTheme="minorEastAsia"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47381A"/>
    <w:multiLevelType w:val="hybridMultilevel"/>
    <w:tmpl w:val="38A0D1DC"/>
    <w:lvl w:ilvl="0" w:tplc="90441094">
      <w:start w:val="1"/>
      <w:numFmt w:val="decimal"/>
      <w:lvlText w:val="%1."/>
      <w:lvlJc w:val="left"/>
      <w:pPr>
        <w:ind w:left="720" w:hanging="360"/>
      </w:pPr>
      <w:rPr>
        <w:rFonts w:hint="default"/>
        <w:b/>
      </w:rPr>
    </w:lvl>
    <w:lvl w:ilvl="1" w:tplc="989407D8">
      <w:start w:val="1"/>
      <w:numFmt w:val="lowerLetter"/>
      <w:lvlText w:val="%2."/>
      <w:lvlJc w:val="left"/>
      <w:pPr>
        <w:ind w:left="1440" w:hanging="360"/>
      </w:pPr>
      <w:rPr>
        <w:rFonts w:asciiTheme="minorHAnsi" w:eastAsiaTheme="minorEastAsia" w:hAnsiTheme="minorHAns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7A4CD2"/>
    <w:multiLevelType w:val="hybridMultilevel"/>
    <w:tmpl w:val="BCA4710A"/>
    <w:lvl w:ilvl="0" w:tplc="FCBA3460">
      <w:numFmt w:val="bullet"/>
      <w:lvlText w:val="-"/>
      <w:lvlJc w:val="left"/>
      <w:pPr>
        <w:ind w:left="720" w:hanging="360"/>
      </w:pPr>
      <w:rPr>
        <w:rFonts w:ascii="Times New Roman" w:eastAsiaTheme="minorHAnsi" w:hAnsi="Times New Roman" w:cs="Times New Roman"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E32E40"/>
    <w:multiLevelType w:val="hybridMultilevel"/>
    <w:tmpl w:val="28082A3A"/>
    <w:lvl w:ilvl="0" w:tplc="65A04AC4">
      <w:numFmt w:val="bullet"/>
      <w:lvlText w:val=""/>
      <w:lvlJc w:val="left"/>
      <w:pPr>
        <w:ind w:left="720" w:hanging="360"/>
      </w:pPr>
      <w:rPr>
        <w:rFonts w:ascii="Symbol" w:eastAsiaTheme="minorEastAsia" w:hAnsi="Symbol" w:cstheme="minorBidi"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9"/>
  </w:num>
  <w:num w:numId="5">
    <w:abstractNumId w:val="1"/>
  </w:num>
  <w:num w:numId="6">
    <w:abstractNumId w:val="6"/>
  </w:num>
  <w:num w:numId="7">
    <w:abstractNumId w:val="5"/>
  </w:num>
  <w:num w:numId="8">
    <w:abstractNumId w:val="0"/>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EFC"/>
    <w:rsid w:val="00027B10"/>
    <w:rsid w:val="000341D7"/>
    <w:rsid w:val="00035025"/>
    <w:rsid w:val="000408FB"/>
    <w:rsid w:val="000442D5"/>
    <w:rsid w:val="00045095"/>
    <w:rsid w:val="00060104"/>
    <w:rsid w:val="00081674"/>
    <w:rsid w:val="000A799C"/>
    <w:rsid w:val="000B04BB"/>
    <w:rsid w:val="000B45C8"/>
    <w:rsid w:val="000C0FA2"/>
    <w:rsid w:val="000C37F6"/>
    <w:rsid w:val="000E573A"/>
    <w:rsid w:val="000E7D3D"/>
    <w:rsid w:val="000F7921"/>
    <w:rsid w:val="001053E9"/>
    <w:rsid w:val="00106619"/>
    <w:rsid w:val="00111854"/>
    <w:rsid w:val="00112557"/>
    <w:rsid w:val="00114E2E"/>
    <w:rsid w:val="00120143"/>
    <w:rsid w:val="00121A57"/>
    <w:rsid w:val="00135022"/>
    <w:rsid w:val="00142540"/>
    <w:rsid w:val="0016208F"/>
    <w:rsid w:val="00191D95"/>
    <w:rsid w:val="0019395E"/>
    <w:rsid w:val="001A7E14"/>
    <w:rsid w:val="001C03E9"/>
    <w:rsid w:val="001C2422"/>
    <w:rsid w:val="001C4E3F"/>
    <w:rsid w:val="001C5699"/>
    <w:rsid w:val="001C5FF5"/>
    <w:rsid w:val="001D5B71"/>
    <w:rsid w:val="001F77FD"/>
    <w:rsid w:val="00203C83"/>
    <w:rsid w:val="00207A29"/>
    <w:rsid w:val="0021768B"/>
    <w:rsid w:val="00225326"/>
    <w:rsid w:val="00240243"/>
    <w:rsid w:val="00241A31"/>
    <w:rsid w:val="002432B8"/>
    <w:rsid w:val="00250207"/>
    <w:rsid w:val="00253687"/>
    <w:rsid w:val="00267385"/>
    <w:rsid w:val="00273AD8"/>
    <w:rsid w:val="00281D1F"/>
    <w:rsid w:val="00287DD7"/>
    <w:rsid w:val="00291E76"/>
    <w:rsid w:val="002A6BE2"/>
    <w:rsid w:val="002B1514"/>
    <w:rsid w:val="002B33CF"/>
    <w:rsid w:val="002D32EE"/>
    <w:rsid w:val="002D5978"/>
    <w:rsid w:val="002D5ABA"/>
    <w:rsid w:val="002D645D"/>
    <w:rsid w:val="002F2C70"/>
    <w:rsid w:val="00320923"/>
    <w:rsid w:val="003278E8"/>
    <w:rsid w:val="00335534"/>
    <w:rsid w:val="00342C68"/>
    <w:rsid w:val="00343897"/>
    <w:rsid w:val="0035032A"/>
    <w:rsid w:val="003861B2"/>
    <w:rsid w:val="00394681"/>
    <w:rsid w:val="003965A8"/>
    <w:rsid w:val="003B2363"/>
    <w:rsid w:val="003B47C3"/>
    <w:rsid w:val="003B6882"/>
    <w:rsid w:val="003C3862"/>
    <w:rsid w:val="003C61C3"/>
    <w:rsid w:val="003D06B6"/>
    <w:rsid w:val="003D095B"/>
    <w:rsid w:val="003D0D95"/>
    <w:rsid w:val="003D4612"/>
    <w:rsid w:val="003D5F55"/>
    <w:rsid w:val="003D6578"/>
    <w:rsid w:val="003E057C"/>
    <w:rsid w:val="00415E76"/>
    <w:rsid w:val="0042771F"/>
    <w:rsid w:val="0043421F"/>
    <w:rsid w:val="00450615"/>
    <w:rsid w:val="00451F6D"/>
    <w:rsid w:val="00467199"/>
    <w:rsid w:val="00467317"/>
    <w:rsid w:val="00474026"/>
    <w:rsid w:val="00477FA9"/>
    <w:rsid w:val="0049523A"/>
    <w:rsid w:val="004953D3"/>
    <w:rsid w:val="004A3400"/>
    <w:rsid w:val="004B267C"/>
    <w:rsid w:val="004C0583"/>
    <w:rsid w:val="004C2062"/>
    <w:rsid w:val="004C347B"/>
    <w:rsid w:val="004E2FE1"/>
    <w:rsid w:val="004F7C95"/>
    <w:rsid w:val="005031DD"/>
    <w:rsid w:val="0052398E"/>
    <w:rsid w:val="00530D6D"/>
    <w:rsid w:val="005311C5"/>
    <w:rsid w:val="00537738"/>
    <w:rsid w:val="00550F39"/>
    <w:rsid w:val="00553EFC"/>
    <w:rsid w:val="00556603"/>
    <w:rsid w:val="005631F7"/>
    <w:rsid w:val="00571573"/>
    <w:rsid w:val="005730FF"/>
    <w:rsid w:val="00574BA5"/>
    <w:rsid w:val="005821F0"/>
    <w:rsid w:val="00587565"/>
    <w:rsid w:val="005A3C2C"/>
    <w:rsid w:val="005B28D0"/>
    <w:rsid w:val="005B3079"/>
    <w:rsid w:val="005C3BCD"/>
    <w:rsid w:val="005D67C1"/>
    <w:rsid w:val="005E7CE4"/>
    <w:rsid w:val="005F3C4D"/>
    <w:rsid w:val="00622493"/>
    <w:rsid w:val="0064350D"/>
    <w:rsid w:val="006740B8"/>
    <w:rsid w:val="006851DA"/>
    <w:rsid w:val="00694C74"/>
    <w:rsid w:val="00695C96"/>
    <w:rsid w:val="006A0817"/>
    <w:rsid w:val="006C5408"/>
    <w:rsid w:val="006D532E"/>
    <w:rsid w:val="006E1564"/>
    <w:rsid w:val="006E6F37"/>
    <w:rsid w:val="006F58F5"/>
    <w:rsid w:val="00702FFC"/>
    <w:rsid w:val="00705EC4"/>
    <w:rsid w:val="00720064"/>
    <w:rsid w:val="007553FA"/>
    <w:rsid w:val="00790277"/>
    <w:rsid w:val="007B3E61"/>
    <w:rsid w:val="007B50C6"/>
    <w:rsid w:val="007E663E"/>
    <w:rsid w:val="007E6CAC"/>
    <w:rsid w:val="007F0794"/>
    <w:rsid w:val="007F1D38"/>
    <w:rsid w:val="00803174"/>
    <w:rsid w:val="00812246"/>
    <w:rsid w:val="00816711"/>
    <w:rsid w:val="00826558"/>
    <w:rsid w:val="008267B7"/>
    <w:rsid w:val="008338C5"/>
    <w:rsid w:val="00836C82"/>
    <w:rsid w:val="00851825"/>
    <w:rsid w:val="00857E94"/>
    <w:rsid w:val="00865E72"/>
    <w:rsid w:val="00872556"/>
    <w:rsid w:val="008B0854"/>
    <w:rsid w:val="008C33EE"/>
    <w:rsid w:val="009021EB"/>
    <w:rsid w:val="009152A2"/>
    <w:rsid w:val="00923B63"/>
    <w:rsid w:val="009317DD"/>
    <w:rsid w:val="009515CD"/>
    <w:rsid w:val="0096521E"/>
    <w:rsid w:val="009752EF"/>
    <w:rsid w:val="009774F4"/>
    <w:rsid w:val="009826AA"/>
    <w:rsid w:val="009917A5"/>
    <w:rsid w:val="009A1EF8"/>
    <w:rsid w:val="009B4E8E"/>
    <w:rsid w:val="009D4D59"/>
    <w:rsid w:val="009D75E2"/>
    <w:rsid w:val="009D790E"/>
    <w:rsid w:val="009E3217"/>
    <w:rsid w:val="009F761A"/>
    <w:rsid w:val="00A1493D"/>
    <w:rsid w:val="00A2445C"/>
    <w:rsid w:val="00A466A9"/>
    <w:rsid w:val="00A469C1"/>
    <w:rsid w:val="00A547AF"/>
    <w:rsid w:val="00A6237C"/>
    <w:rsid w:val="00A654C0"/>
    <w:rsid w:val="00A84DDA"/>
    <w:rsid w:val="00A92D7D"/>
    <w:rsid w:val="00AA021C"/>
    <w:rsid w:val="00AA4A77"/>
    <w:rsid w:val="00AB208B"/>
    <w:rsid w:val="00AE5820"/>
    <w:rsid w:val="00AF1EAF"/>
    <w:rsid w:val="00AF29CA"/>
    <w:rsid w:val="00B03C5F"/>
    <w:rsid w:val="00B04FF3"/>
    <w:rsid w:val="00B0580B"/>
    <w:rsid w:val="00B121D0"/>
    <w:rsid w:val="00B23DF7"/>
    <w:rsid w:val="00B24652"/>
    <w:rsid w:val="00B3673D"/>
    <w:rsid w:val="00B45D18"/>
    <w:rsid w:val="00B64C0E"/>
    <w:rsid w:val="00B86238"/>
    <w:rsid w:val="00BB0E24"/>
    <w:rsid w:val="00BD2E24"/>
    <w:rsid w:val="00BD7000"/>
    <w:rsid w:val="00BF70DA"/>
    <w:rsid w:val="00C33BFE"/>
    <w:rsid w:val="00C33E81"/>
    <w:rsid w:val="00C348DF"/>
    <w:rsid w:val="00C36EC2"/>
    <w:rsid w:val="00C401C4"/>
    <w:rsid w:val="00C54715"/>
    <w:rsid w:val="00C67E92"/>
    <w:rsid w:val="00C71CC7"/>
    <w:rsid w:val="00C822E1"/>
    <w:rsid w:val="00C90B39"/>
    <w:rsid w:val="00C971D8"/>
    <w:rsid w:val="00CA6ABD"/>
    <w:rsid w:val="00CB6713"/>
    <w:rsid w:val="00CB7363"/>
    <w:rsid w:val="00CC361E"/>
    <w:rsid w:val="00CE7BE7"/>
    <w:rsid w:val="00CF09A8"/>
    <w:rsid w:val="00D02B6F"/>
    <w:rsid w:val="00D03C30"/>
    <w:rsid w:val="00D154D4"/>
    <w:rsid w:val="00D27019"/>
    <w:rsid w:val="00D3545D"/>
    <w:rsid w:val="00D61223"/>
    <w:rsid w:val="00D87F64"/>
    <w:rsid w:val="00DA79C0"/>
    <w:rsid w:val="00DD71B8"/>
    <w:rsid w:val="00DE0552"/>
    <w:rsid w:val="00DF5A3C"/>
    <w:rsid w:val="00DF6249"/>
    <w:rsid w:val="00E13B1E"/>
    <w:rsid w:val="00E43844"/>
    <w:rsid w:val="00E94D0A"/>
    <w:rsid w:val="00EA6C42"/>
    <w:rsid w:val="00EB181C"/>
    <w:rsid w:val="00ED254E"/>
    <w:rsid w:val="00ED3387"/>
    <w:rsid w:val="00ED6115"/>
    <w:rsid w:val="00ED6C32"/>
    <w:rsid w:val="00EF450B"/>
    <w:rsid w:val="00F227BF"/>
    <w:rsid w:val="00F2362A"/>
    <w:rsid w:val="00F23A0A"/>
    <w:rsid w:val="00F23DDF"/>
    <w:rsid w:val="00F27AD9"/>
    <w:rsid w:val="00F4082F"/>
    <w:rsid w:val="00F450AE"/>
    <w:rsid w:val="00F542BC"/>
    <w:rsid w:val="00F81E9A"/>
    <w:rsid w:val="00F83D71"/>
    <w:rsid w:val="00F90DE4"/>
    <w:rsid w:val="00F93910"/>
    <w:rsid w:val="00F9391C"/>
    <w:rsid w:val="00F966AB"/>
    <w:rsid w:val="00FA000A"/>
    <w:rsid w:val="00FA6A58"/>
    <w:rsid w:val="00FA71F0"/>
    <w:rsid w:val="00FA7387"/>
    <w:rsid w:val="00FC37B9"/>
    <w:rsid w:val="00FD489A"/>
    <w:rsid w:val="00FE1E79"/>
    <w:rsid w:val="00FE2661"/>
    <w:rsid w:val="00FF4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95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53EF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53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0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F39"/>
    <w:rPr>
      <w:rFonts w:ascii="Tahoma" w:hAnsi="Tahoma" w:cs="Tahoma"/>
      <w:sz w:val="16"/>
      <w:szCs w:val="16"/>
      <w:lang w:val="es-PE"/>
    </w:rPr>
  </w:style>
  <w:style w:type="paragraph" w:styleId="ListParagraph">
    <w:name w:val="List Paragraph"/>
    <w:basedOn w:val="Normal"/>
    <w:uiPriority w:val="34"/>
    <w:qFormat/>
    <w:rsid w:val="009E3217"/>
    <w:pPr>
      <w:ind w:left="720"/>
      <w:contextualSpacing/>
    </w:pPr>
  </w:style>
  <w:style w:type="paragraph" w:styleId="FootnoteText">
    <w:name w:val="footnote text"/>
    <w:basedOn w:val="Normal"/>
    <w:link w:val="FootnoteTextChar"/>
    <w:uiPriority w:val="99"/>
    <w:semiHidden/>
    <w:unhideWhenUsed/>
    <w:rsid w:val="009D75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75E2"/>
    <w:rPr>
      <w:sz w:val="20"/>
      <w:szCs w:val="20"/>
    </w:rPr>
  </w:style>
  <w:style w:type="character" w:styleId="FootnoteReference">
    <w:name w:val="footnote reference"/>
    <w:basedOn w:val="DefaultParagraphFont"/>
    <w:uiPriority w:val="99"/>
    <w:semiHidden/>
    <w:unhideWhenUsed/>
    <w:rsid w:val="009D75E2"/>
    <w:rPr>
      <w:vertAlign w:val="superscript"/>
    </w:rPr>
  </w:style>
  <w:style w:type="paragraph" w:styleId="Header">
    <w:name w:val="header"/>
    <w:basedOn w:val="Normal"/>
    <w:link w:val="HeaderChar"/>
    <w:uiPriority w:val="99"/>
    <w:unhideWhenUsed/>
    <w:rsid w:val="001053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53E9"/>
  </w:style>
  <w:style w:type="paragraph" w:styleId="Footer">
    <w:name w:val="footer"/>
    <w:basedOn w:val="Normal"/>
    <w:link w:val="FooterChar"/>
    <w:uiPriority w:val="99"/>
    <w:unhideWhenUsed/>
    <w:rsid w:val="00105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53E9"/>
  </w:style>
  <w:style w:type="character" w:styleId="Hyperlink">
    <w:name w:val="Hyperlink"/>
    <w:basedOn w:val="DefaultParagraphFont"/>
    <w:uiPriority w:val="99"/>
    <w:unhideWhenUsed/>
    <w:rsid w:val="00B23DF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53EF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53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0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F39"/>
    <w:rPr>
      <w:rFonts w:ascii="Tahoma" w:hAnsi="Tahoma" w:cs="Tahoma"/>
      <w:sz w:val="16"/>
      <w:szCs w:val="16"/>
      <w:lang w:val="es-PE"/>
    </w:rPr>
  </w:style>
  <w:style w:type="paragraph" w:styleId="ListParagraph">
    <w:name w:val="List Paragraph"/>
    <w:basedOn w:val="Normal"/>
    <w:uiPriority w:val="34"/>
    <w:qFormat/>
    <w:rsid w:val="009E3217"/>
    <w:pPr>
      <w:ind w:left="720"/>
      <w:contextualSpacing/>
    </w:pPr>
  </w:style>
  <w:style w:type="paragraph" w:styleId="FootnoteText">
    <w:name w:val="footnote text"/>
    <w:basedOn w:val="Normal"/>
    <w:link w:val="FootnoteTextChar"/>
    <w:uiPriority w:val="99"/>
    <w:semiHidden/>
    <w:unhideWhenUsed/>
    <w:rsid w:val="009D75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75E2"/>
    <w:rPr>
      <w:sz w:val="20"/>
      <w:szCs w:val="20"/>
    </w:rPr>
  </w:style>
  <w:style w:type="character" w:styleId="FootnoteReference">
    <w:name w:val="footnote reference"/>
    <w:basedOn w:val="DefaultParagraphFont"/>
    <w:uiPriority w:val="99"/>
    <w:semiHidden/>
    <w:unhideWhenUsed/>
    <w:rsid w:val="009D75E2"/>
    <w:rPr>
      <w:vertAlign w:val="superscript"/>
    </w:rPr>
  </w:style>
  <w:style w:type="paragraph" w:styleId="Header">
    <w:name w:val="header"/>
    <w:basedOn w:val="Normal"/>
    <w:link w:val="HeaderChar"/>
    <w:uiPriority w:val="99"/>
    <w:unhideWhenUsed/>
    <w:rsid w:val="001053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53E9"/>
  </w:style>
  <w:style w:type="paragraph" w:styleId="Footer">
    <w:name w:val="footer"/>
    <w:basedOn w:val="Normal"/>
    <w:link w:val="FooterChar"/>
    <w:uiPriority w:val="99"/>
    <w:unhideWhenUsed/>
    <w:rsid w:val="00105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53E9"/>
  </w:style>
  <w:style w:type="character" w:styleId="Hyperlink">
    <w:name w:val="Hyperlink"/>
    <w:basedOn w:val="DefaultParagraphFont"/>
    <w:uiPriority w:val="99"/>
    <w:unhideWhenUsed/>
    <w:rsid w:val="00B23D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joseph.p.dudley@leido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E0F15-B1F6-1A45-A014-D2DD87B46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1426</Words>
  <Characters>8129</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SAIC</Company>
  <LinksUpToDate>false</LinksUpToDate>
  <CharactersWithSpaces>9536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Andrew Huff</cp:lastModifiedBy>
  <cp:revision>167</cp:revision>
  <cp:lastPrinted>2014-05-16T17:21:00Z</cp:lastPrinted>
  <dcterms:created xsi:type="dcterms:W3CDTF">2014-10-29T18:17:00Z</dcterms:created>
  <dcterms:modified xsi:type="dcterms:W3CDTF">2015-04-29T17:17:00Z</dcterms:modified>
</cp:coreProperties>
</file>